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3"/>
                    <a:stretch>
                      <a:fillRect/>
                    </a:stretch>
                  </pic:blipFill>
                  <pic:spPr>
                    <a:xfrm>
                      <a:off x="0" y="0"/>
                      <a:ext cx="1005840" cy="1005840"/>
                    </a:xfrm>
                    <a:prstGeom prst="rect"/>
                  </pic:spPr>
                </pic:pic>
              </a:graphicData>
            </a:graphic>
          </wp:anchor>
        </w:drawing>
      </w:r>
    </w:p>
    <w:p/>
    <w:p/>
    <w:p/>
    <w:p>
      <w:r>
        <w:rPr>
          <w:b/>
          <w:sz w:val="32"/>
        </w:rPr>
        <w:t>2026 HSC Chinese Continuers</w:t>
      </w:r>
    </w:p>
    <w:p>
      <w:r>
        <w:rPr>
          <w:b/>
          <w:sz w:val="32"/>
        </w:rPr>
        <w:t>Marking Guidelines</w:t>
      </w:r>
    </w:p>
    <w:p/>
    <w:p>
      <w:pPr>
        <w:keepNext/>
        <w:spacing w:after="40" w:before="120"/>
      </w:pPr>
      <w:r>
        <w:rPr>
          <w:b/>
          <w:sz w:val="26"/>
        </w:rPr>
        <w:t>Section I — Listening and Responding</w:t>
      </w:r>
    </w:p>
    <w:p>
      <w:pPr>
        <w:keepNext/>
        <w:spacing w:after="80" w:before="160"/>
      </w:pPr>
      <w:r>
        <w:rPr>
          <w:b/>
          <w:sz w:val="24"/>
        </w:rPr>
        <w:t>Question 1</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Completes all details correctly</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tbl>
      <w:tblPr>
        <w:tblW w:type="dxa" w:w="6237"/>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418"/>
        <w:gridCol w:w="3118"/>
        <w:gridCol w:w="1701"/>
      </w:tblGrid>
      <w:tr>
        <w:tc>
          <w:tcPr>
            <w:tcW w:type="dxa" w:w="1418"/>
          </w:tcPr>
          <w:p>
            <w:r/>
            <w:r>
              <w:rPr>
                <w:i/>
                <w:sz w:val="22"/>
              </w:rPr>
              <w:t>Day</w:t>
            </w:r>
          </w:p>
        </w:tc>
        <w:tc>
          <w:tcPr>
            <w:tcW w:type="dxa" w:w="3118"/>
          </w:tcPr>
          <w:p>
            <w:r/>
            <w:r>
              <w:rPr>
                <w:i/>
                <w:sz w:val="22"/>
              </w:rPr>
              <w:t>Class offered</w:t>
            </w:r>
          </w:p>
        </w:tc>
        <w:tc>
          <w:tcPr>
            <w:tcW w:type="dxa" w:w="1701"/>
          </w:tcPr>
          <w:p>
            <w:r/>
            <w:r>
              <w:rPr>
                <w:i/>
                <w:sz w:val="22"/>
              </w:rPr>
              <w:t>Time</w:t>
            </w:r>
          </w:p>
        </w:tc>
      </w:tr>
      <w:tr>
        <w:tc>
          <w:tcPr>
            <w:tcW w:type="dxa" w:w="1418"/>
          </w:tcPr>
          <w:p>
            <w:r/>
            <w:r>
              <w:rPr>
                <w:sz w:val="22"/>
              </w:rPr>
              <w:t>Saturday</w:t>
            </w:r>
          </w:p>
        </w:tc>
        <w:tc>
          <w:tcPr>
            <w:tcW w:type="dxa" w:w="3118"/>
          </w:tcPr>
          <w:p>
            <w:r/>
            <w:r>
              <w:rPr>
                <w:b/>
                <w:sz w:val="22"/>
              </w:rPr>
              <w:t>Tai chi class</w:t>
            </w:r>
          </w:p>
        </w:tc>
        <w:tc>
          <w:tcPr>
            <w:tcW w:type="dxa" w:w="1701"/>
          </w:tcPr>
          <w:p>
            <w:r/>
            <w:r>
              <w:rPr>
                <w:b/>
                <w:sz w:val="22"/>
              </w:rPr>
              <w:t>9–10 am</w:t>
            </w:r>
          </w:p>
        </w:tc>
      </w:tr>
      <w:tr>
        <w:tc>
          <w:tcPr>
            <w:tcW w:type="dxa" w:w="1418"/>
          </w:tcPr>
          <w:p>
            <w:r/>
            <w:r>
              <w:rPr>
                <w:sz w:val="22"/>
              </w:rPr>
              <w:t>Sunday</w:t>
            </w:r>
          </w:p>
        </w:tc>
        <w:tc>
          <w:tcPr>
            <w:tcW w:type="dxa" w:w="3118"/>
          </w:tcPr>
          <w:p>
            <w:r/>
            <w:r>
              <w:rPr>
                <w:b/>
                <w:sz w:val="22"/>
              </w:rPr>
              <w:t>Dance class</w:t>
            </w:r>
          </w:p>
        </w:tc>
        <w:tc>
          <w:tcPr>
            <w:tcW w:type="dxa" w:w="1701"/>
          </w:tcPr>
          <w:p>
            <w:r/>
            <w:r>
              <w:rPr>
                <w:b/>
                <w:sz w:val="22"/>
              </w:rPr>
              <w:t>2–4 pm</w:t>
            </w:r>
          </w:p>
        </w:tc>
      </w:tr>
    </w:tbl>
    <w:p/>
    <w:p>
      <w:pPr>
        <w:keepNext/>
        <w:spacing w:after="80" w:before="160"/>
      </w:pPr>
      <w:r>
        <w:rPr>
          <w:b/>
          <w:sz w:val="24"/>
        </w:rPr>
        <w:t>Question 2</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the correct answer</w:t>
            </w:r>
          </w:p>
        </w:tc>
        <w:tc>
          <w:tcPr>
            <w:tcW w:type="dxa" w:w="1418"/>
          </w:tcPr>
          <w:p>
            <w:pPr>
              <w:jc w:val="center"/>
            </w:pPr>
            <w:r/>
            <w:r>
              <w:rPr>
                <w:sz w:val="22"/>
              </w:rPr>
              <w:t>1</w:t>
            </w:r>
          </w:p>
        </w:tc>
      </w:tr>
    </w:tbl>
    <w:p>
      <w:pPr>
        <w:keepNext/>
        <w:spacing w:before="120"/>
      </w:pPr>
      <w:r>
        <w:rPr>
          <w:b/>
          <w:i/>
          <w:sz w:val="22"/>
        </w:rPr>
        <w:t>Sample answer:</w:t>
      </w:r>
    </w:p>
    <w:p>
      <w:r>
        <w:rPr>
          <w:sz w:val="22"/>
        </w:rPr>
        <w:t>B</w:t>
      </w:r>
    </w:p>
    <w:p/>
    <w:p>
      <w:pPr>
        <w:keepNext/>
        <w:spacing w:after="80" w:before="160"/>
      </w:pPr>
      <w:r>
        <w:rPr>
          <w:b/>
          <w:sz w:val="24"/>
        </w:rPr>
        <w:t>Question 3</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the speakers' plans</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the speakers' plans</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speakers are preparing their class's fund-raising stall for the school open day next Friday. They have decided to sell second-hand books and handmade cards: the female speaker will make twenty more cards this weekend, and the male speaker has already collected more than fifty books. Next Thursday after school they will move the classroom tables out to the playground, and the money raised will be donated to the children's ward at the city hospital.</w:t>
      </w:r>
    </w:p>
    <w:p/>
    <w:p>
      <w:pPr>
        <w:keepNext/>
        <w:spacing w:after="80" w:before="160"/>
      </w:pPr>
      <w:r>
        <w:rPr>
          <w:b/>
          <w:sz w:val="24"/>
        </w:rPr>
        <w:t>Question 4</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sound understanding of why the speaker is against using mobile phones at school,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why the speaker is against using mobile phones at school, with some reference to the text</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speaker believes mobile phones should not be used at school for three reasons. Firstly, many students secretly look at their phones during class instead of listening to the teacher. Secondly, after class everyone plays on their phones rather than talking to their friends. Thirdly, some students bring expensive phones to school — if one is lost or damaged everyone is upset, and expensive phones also lead students to compare themselves with one another.</w:t>
      </w:r>
    </w:p>
    <w:p/>
    <w:p>
      <w:pPr>
        <w:keepNext/>
        <w:spacing w:after="80" w:before="160"/>
      </w:pPr>
      <w:r>
        <w:rPr>
          <w:b/>
          <w:sz w:val="24"/>
        </w:rPr>
        <w:t>Question 5</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Provides a sound explanation for whether the female speaker's parents would be happy about her decision,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Provides some explanation for whether the female speaker's parents would be happy about her decision, with some reference to the text</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Yes, the female speaker's parents would likely be happy about her decision to study music at university. Although her mother initially disagreed and wanted her to study medicine, she was eventually convinced after the female speaker explained her lifelong love for singing and playing the piano, and that her music teacher had recognised her talent. Her father has always supported her, saying that as long as she is happy, that is enough. Both parents are therefore now on board with her decision.</w:t>
      </w:r>
    </w:p>
    <w:p>
      <w:pPr>
        <w:keepNext/>
        <w:spacing w:before="120"/>
      </w:pPr>
      <w:r>
        <w:rPr>
          <w:b/>
          <w:i/>
          <w:sz w:val="22"/>
        </w:rPr>
        <w:t>Answers could include:</w:t>
      </w:r>
    </w:p>
    <w:p>
      <w:pPr>
        <w:ind w:left="227" w:hanging="227"/>
      </w:pPr>
      <w:r>
        <w:rPr>
          <w:sz w:val="22"/>
        </w:rPr>
        <w:t>• No — although her father has always supported her, her mother originally wanted her to study medicine and only agreed after being persuaded, so her happiness about the decision may still be reluctant.</w:t>
      </w:r>
    </w:p>
    <w:p/>
    <w:p>
      <w:pPr>
        <w:keepNext/>
        <w:spacing w:after="80" w:before="160"/>
      </w:pPr>
      <w:r>
        <w:rPr>
          <w:b/>
          <w:sz w:val="24"/>
        </w:rPr>
        <w:t>Question 6</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Provides a summary of the male speaker's advice</w:t>
            </w:r>
          </w:p>
        </w:tc>
        <w:tc>
          <w:tcPr>
            <w:tcW w:type="dxa" w:w="1418"/>
          </w:tcPr>
          <w:p>
            <w:pPr>
              <w:jc w:val="center"/>
            </w:pPr>
            <w:r/>
            <w:r>
              <w:rPr>
                <w:sz w:val="22"/>
              </w:rPr>
              <w:t>4</w:t>
            </w:r>
          </w:p>
        </w:tc>
      </w:tr>
      <w:tr>
        <w:tc>
          <w:tcPr>
            <w:tcW w:type="dxa" w:w="7598"/>
          </w:tcPr>
          <w:p>
            <w:pPr>
              <w:ind w:left="227" w:hanging="227"/>
            </w:pPr>
            <w:r/>
            <w:r>
              <w:rPr>
                <w:rFonts w:eastAsia="楷体" w:hint="eastAsia"/>
                <w:sz w:val="22"/>
              </w:rPr>
              <w:t>• Provides a partial summary of the male speaker's advice</w:t>
            </w:r>
          </w:p>
          <w:p>
            <w:r>
              <w:rPr>
                <w:rFonts w:eastAsia="楷体" w:hint="eastAsia"/>
                <w:sz w:val="22"/>
              </w:rPr>
              <w:t>OR</w:t>
            </w:r>
          </w:p>
          <w:p>
            <w:pPr>
              <w:ind w:left="227" w:hanging="227"/>
            </w:pPr>
            <w:r>
              <w:rPr>
                <w:rFonts w:eastAsia="楷体" w:hint="eastAsia"/>
                <w:sz w:val="22"/>
              </w:rPr>
              <w:t>• Provides all the information without summarising</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the male speaker's advice</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pPr>
        <w:ind w:left="227" w:hanging="227"/>
      </w:pPr>
      <w:r>
        <w:rPr>
          <w:sz w:val="22"/>
        </w:rPr>
        <w:t>• Think carefully before getting a dog — it will be a companion for more than ten years and should not be given up when it becomes inconvenient</w:t>
      </w:r>
    </w:p>
    <w:p>
      <w:pPr>
        <w:ind w:left="227" w:hanging="227"/>
      </w:pPr>
      <w:r>
        <w:rPr>
          <w:sz w:val="22"/>
        </w:rPr>
        <w:t>• Walk it every day, because dogs need exercise to stay happy and healthy</w:t>
      </w:r>
    </w:p>
    <w:p>
      <w:pPr>
        <w:ind w:left="227" w:hanging="227"/>
      </w:pPr>
      <w:r>
        <w:rPr>
          <w:sz w:val="22"/>
        </w:rPr>
        <w:t>• Feed it properly — no human food (chocolate is dangerous) — and take it to the pet doctor regularly for check-ups</w:t>
      </w:r>
    </w:p>
    <w:p/>
    <w:p>
      <w:pPr>
        <w:keepNext/>
        <w:spacing w:after="80" w:before="160"/>
      </w:pPr>
      <w:r>
        <w:rPr>
          <w:b/>
          <w:sz w:val="24"/>
        </w:rPr>
        <w:t>Question 7</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thorough understanding of how the female speaker's attitude changes during the conversation, with detailed reference to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how the female speaker's attitude changes during the conversation, with some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how the female speaker's attitude changes</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female speaker's attitude towards the new calligraphy class changes completely during the conversation. Initially she dismisses it as old-fashioned (「太老套了」) and believes it will not help her studies. When the male speaker explains that calligraphy calms him down and leaves him feeling relaxed, she is still doubtful, worrying that her handwriting is too ugly for her to learn. She begins to reconsider after hearing that the teacher starts from the most basic strokes and that neat handwriting also makes a good impression in exams. Finally, after learning that the best works will be exhibited at the school arts festival, she decides to sign up and try it herself.</w:t>
      </w:r>
    </w:p>
    <w:p/>
    <w:p>
      <w:pPr>
        <w:keepNext/>
        <w:spacing w:after="80" w:before="160"/>
      </w:pPr>
      <w:r>
        <w:rPr>
          <w:b/>
          <w:sz w:val="24"/>
        </w:rPr>
        <w:t>Question 8</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comprehensive understanding of how the speaker persuades his audience, with detailed reference to the content and language techniques</w:t>
            </w:r>
          </w:p>
        </w:tc>
        <w:tc>
          <w:tcPr>
            <w:tcW w:type="dxa" w:w="1418"/>
          </w:tcPr>
          <w:p>
            <w:pPr>
              <w:jc w:val="center"/>
            </w:pPr>
            <w:r/>
            <w:r>
              <w:rPr>
                <w:sz w:val="22"/>
              </w:rPr>
              <w:t>5</w:t>
            </w:r>
          </w:p>
        </w:tc>
      </w:tr>
      <w:tr>
        <w:tc>
          <w:tcPr>
            <w:tcW w:type="dxa" w:w="7598"/>
          </w:tcPr>
          <w:p>
            <w:pPr>
              <w:ind w:left="227" w:hanging="227"/>
            </w:pPr>
            <w:r/>
            <w:r>
              <w:rPr>
                <w:rFonts w:eastAsia="楷体" w:hint="eastAsia"/>
                <w:sz w:val="22"/>
              </w:rPr>
              <w:t>• Demonstrates a thorough understanding of how the speaker persuades his audience, with some reference to the content and language techniques</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how the speaker persuades his audience, with limited reference to the content and language techniques</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how the speaker persuades his audience</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speaker uses a range of content and language techniques to encourage students to join the drama production. He opens by voicing the audience's own doubt — 「我从来没有演过戏，肯定不行」 ('I have never acted before, I definitely can't do it') — and answers it with personal testimony, 「去年的我也是这么想的」 ('that is exactly what I thought last year'), which removes the main barrier to signing up. The proverb 「台上一分钟，台下十年功」 ('one minute on stage takes ten years of practice off stage') lends cultural authority to the value of rehearsal. Parallel structure — 「一起背台词，一起想办法，一起解决问题」 ('memorising lines together, thinking of ideas together, solving problems together') — paints a warm picture of friendship and teamwork. He then lists concrete benefits with 不但…还… ('not only… but also…'): much faster progress in Chinese, and learning to speak in front of a crowd. The vivid memory of success — 「全场的老师和家长都站起来鼓掌」 ('all the teachers and parents stood up and applauded') — provides social proof, and the closing personification and direct appeal — 「今年的舞台，就等着你了。快来报名吧！」 ('this year's stage is waiting just for you — come and sign up!') — converts enthusiasm into immediate action.</w:t>
      </w:r>
    </w:p>
    <w:p/>
    <w:p>
      <w:pPr>
        <w:keepNext/>
        <w:pageBreakBefore/>
        <w:spacing w:after="40" w:before="120"/>
      </w:pPr>
      <w:r>
        <w:rPr>
          <w:b/>
          <w:sz w:val="26"/>
        </w:rPr>
        <w:t>Section II — Reading and Responding</w:t>
      </w:r>
    </w:p>
    <w:p>
      <w:pPr>
        <w:keepNext/>
        <w:spacing w:after="40" w:before="0"/>
      </w:pPr>
      <w:r>
        <w:rPr>
          <w:b/>
          <w:sz w:val="26"/>
        </w:rPr>
        <w:t>Part A</w:t>
      </w:r>
    </w:p>
    <w:p>
      <w:pPr>
        <w:keepNext/>
        <w:spacing w:after="80" w:before="160"/>
      </w:pPr>
      <w:r>
        <w:rPr>
          <w:b/>
          <w:sz w:val="24"/>
        </w:rPr>
        <w:t>Question 9 (a)</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Outlines how the author felt about the trip before it began</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author felt unwilling about the trip, because the orchard is in the countryside, with no shopping centres or cinemas and only slow internet — the author could not imagine how to get through a whole week there.</w:t>
      </w:r>
    </w:p>
    <w:p/>
    <w:p>
      <w:pPr>
        <w:keepNext/>
        <w:spacing w:after="80" w:before="160"/>
      </w:pPr>
      <w:r>
        <w:rPr>
          <w:b/>
          <w:sz w:val="24"/>
        </w:rPr>
        <w:t>Question 9 (b)</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Describes the author's experiences at the orchard</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the author's experiences at the orchard</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work was much harder than the author expected: getting up at six every morning and resting only after sunset, with hands so sore on the first afternoon that they could not be lifted. Gradually the author learned to pick out ripe apples and pack them into boxes. On Saturday they took the apples to the town market to sell, where an elderly customer's praise — the sweetest apples she had eaten all year — made the author's heart feel even sweeter than the apples.</w:t>
      </w:r>
    </w:p>
    <w:p/>
    <w:p>
      <w:pPr>
        <w:keepNext/>
        <w:spacing w:after="80" w:before="160"/>
      </w:pPr>
      <w:r>
        <w:rPr>
          <w:b/>
          <w:sz w:val="24"/>
        </w:rPr>
        <w:t>Question 9 (c)</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comprehensive understanding of how effectively the author conveys his message, with extensive reference to the text</w:t>
            </w:r>
          </w:p>
        </w:tc>
        <w:tc>
          <w:tcPr>
            <w:tcW w:type="dxa" w:w="1418"/>
          </w:tcPr>
          <w:p>
            <w:pPr>
              <w:jc w:val="center"/>
            </w:pPr>
            <w:r/>
            <w:r>
              <w:rPr>
                <w:sz w:val="22"/>
              </w:rPr>
              <w:t>5</w:t>
            </w:r>
          </w:p>
        </w:tc>
      </w:tr>
      <w:tr>
        <w:tc>
          <w:tcPr>
            <w:tcW w:type="dxa" w:w="7598"/>
          </w:tcPr>
          <w:p>
            <w:pPr>
              <w:ind w:left="227" w:hanging="227"/>
            </w:pPr>
            <w:r/>
            <w:r>
              <w:rPr>
                <w:rFonts w:eastAsia="楷体" w:hint="eastAsia"/>
                <w:sz w:val="22"/>
              </w:rPr>
              <w:t>• Demonstrates a thorough understanding of how effectively the author conveys his message, with detailed reference to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how effectively the author conveys his message,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the author's message</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The author conveys the value of hard work effectively through several techniques. The uncle's gentle teasing — 「城里的孩子，吃的苹果都是别人摘的」 ('city kids eat apples that other people picked') — crystallises the gap between consuming and labouring, and the author admits this one line prompted long reflection. Physical detail makes the labour tangible: rising at six, resting at sunset, hands too sore to lift. The market scene then transforms effort into meaning, the sensory comparison 「我心里比吃了苹果还甜」 ('my heart felt sweeter than the apples') linking sweat to reward. Finally, the closing contrast — a week without films or shopping set against lessons no book could teach — culminates in the aphorism 「每一个苹果，都是用汗水换来的」 ('every apple is earned with sweat'), and the author's pride in the wounds on their hands turns hardship into a badge of growth, making the message both memorable and persuasive.</w:t>
      </w:r>
    </w:p>
    <w:p/>
    <w:p>
      <w:pPr>
        <w:keepNext/>
        <w:spacing w:after="80" w:before="160"/>
      </w:pPr>
      <w:r>
        <w:rPr>
          <w:b/>
          <w:sz w:val="24"/>
        </w:rPr>
        <w:t>Question 10 (a)</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Identifies what prompted Liming to post on this forum</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Liming has been using AI software to practise his Chinese essays — it tells him immediately where he has gone wrong. He has posted because his classmates say this is cheating, like copying someone else's homework, so he is worried and unsure whether he should continue using it.</w:t>
      </w:r>
    </w:p>
    <w:p/>
    <w:p>
      <w:pPr>
        <w:keepNext/>
        <w:spacing w:after="80" w:before="160"/>
      </w:pPr>
      <w:r>
        <w:rPr>
          <w:b/>
          <w:sz w:val="24"/>
        </w:rPr>
        <w:t>Question 10 (b)</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Provides a summary of Jiajia's views</w:t>
            </w:r>
          </w:p>
        </w:tc>
        <w:tc>
          <w:tcPr>
            <w:tcW w:type="dxa" w:w="1418"/>
          </w:tcPr>
          <w:p>
            <w:pPr>
              <w:jc w:val="center"/>
            </w:pPr>
            <w:r/>
            <w:r>
              <w:rPr>
                <w:sz w:val="22"/>
              </w:rPr>
              <w:t>3</w:t>
            </w:r>
          </w:p>
        </w:tc>
      </w:tr>
      <w:tr>
        <w:tc>
          <w:tcPr>
            <w:tcW w:type="dxa" w:w="7598"/>
          </w:tcPr>
          <w:p>
            <w:pPr>
              <w:ind w:left="227" w:hanging="227"/>
            </w:pPr>
            <w:r/>
            <w:r>
              <w:rPr>
                <w:rFonts w:eastAsia="楷体" w:hint="eastAsia"/>
                <w:sz w:val="22"/>
              </w:rPr>
              <w:t>• Provides a partial summary of Jiajia's views</w:t>
            </w:r>
          </w:p>
          <w:p>
            <w:r>
              <w:rPr>
                <w:rFonts w:eastAsia="楷体" w:hint="eastAsia"/>
                <w:sz w:val="22"/>
              </w:rPr>
              <w:t>OR</w:t>
            </w:r>
          </w:p>
          <w:p>
            <w:pPr>
              <w:ind w:left="227" w:hanging="227"/>
            </w:pPr>
            <w:r>
              <w:rPr>
                <w:rFonts w:eastAsia="楷体" w:hint="eastAsia"/>
                <w:sz w:val="22"/>
              </w:rPr>
              <w:t>• Provides all the information without summarising</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pPr>
        <w:ind w:left="227" w:hanging="227"/>
      </w:pPr>
      <w:r>
        <w:rPr>
          <w:sz w:val="22"/>
        </w:rPr>
        <w:t>• Using AI for study is completely fine — it is like a teacher who is always by your side, even in the middle of the night</w:t>
      </w:r>
    </w:p>
    <w:p>
      <w:pPr>
        <w:ind w:left="227" w:hanging="227"/>
      </w:pPr>
      <w:r>
        <w:rPr>
          <w:sz w:val="22"/>
        </w:rPr>
        <w:t>• What matters is how it is used: write first and let AI check (her essay grade rose from a C to an A) — let it correct your work, not write it for you</w:t>
      </w:r>
    </w:p>
    <w:p/>
    <w:p>
      <w:pPr>
        <w:keepNext/>
        <w:spacing w:after="80" w:before="160"/>
      </w:pPr>
      <w:r>
        <w:rPr>
          <w:b/>
          <w:sz w:val="24"/>
        </w:rPr>
        <w:t>Question 10 (c)</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thorough understanding of Jiajia's and Wenhao's attitudes towards using artificial intelligence, with detailed reference to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a sound understanding of Jiajia's and Wenhao's attitudes towards using artificial intelligence, with reference to the text</w:t>
            </w:r>
          </w:p>
        </w:tc>
        <w:tc>
          <w:tcPr>
            <w:tcW w:type="dxa" w:w="1418"/>
          </w:tcPr>
          <w:p>
            <w:pPr>
              <w:jc w:val="center"/>
            </w:pPr>
            <w:r/>
            <w:r>
              <w:rPr>
                <w:sz w:val="22"/>
              </w:rPr>
              <w:t>3</w:t>
            </w:r>
          </w:p>
        </w:tc>
      </w:tr>
      <w:tr>
        <w:tc>
          <w:tcPr>
            <w:tcW w:type="dxa" w:w="7598"/>
          </w:tcPr>
          <w:p>
            <w:pPr>
              <w:ind w:left="227" w:hanging="227"/>
            </w:pPr>
            <w:r/>
            <w:r>
              <w:rPr>
                <w:rFonts w:eastAsia="楷体" w:hint="eastAsia"/>
                <w:sz w:val="22"/>
              </w:rPr>
              <w:t>• Demonstrates some understanding of Jiajia's and Wenhao's attitudes</w:t>
            </w:r>
          </w:p>
        </w:tc>
        <w:tc>
          <w:tcPr>
            <w:tcW w:type="dxa" w:w="1418"/>
          </w:tcPr>
          <w:p>
            <w:pPr>
              <w:jc w:val="center"/>
            </w:pPr>
            <w:r/>
            <w:r>
              <w:rPr>
                <w:sz w:val="22"/>
              </w:rPr>
              <w:t>2</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Jiajia and Wenhao take opposite positions. Jiajia embraces AI as an ever-available teacher and credits it for her dramatic improvement, provided it checks work rather than writes it. Wenhao rejects relying on it: for him study is like physical exercise — no one can run for you, and a machine cannot think for you. Where Jiajia sees a tool whose value depends on its user, Wenhao sees a habit that breeds laziness, pointing to classmates whose homework is beautiful but who can do nothing in exams. In short, Jiajia focuses on how AI can support learning, while Wenhao warns it will quietly replace it.</w:t>
      </w:r>
    </w:p>
    <w:p/>
    <w:p>
      <w:pPr>
        <w:keepNext/>
        <w:spacing w:after="80" w:before="160"/>
      </w:pPr>
      <w:r>
        <w:rPr>
          <w:b/>
          <w:sz w:val="24"/>
        </w:rPr>
        <w:t>Question 10 (d)</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 comprehensive understanding of the effectiveness of Wenhao's argument, including evaluation of any limitation, with extensive reference to the content and language techniques of the text</w:t>
            </w:r>
          </w:p>
        </w:tc>
        <w:tc>
          <w:tcPr>
            <w:tcW w:type="dxa" w:w="1418"/>
          </w:tcPr>
          <w:p>
            <w:pPr>
              <w:jc w:val="center"/>
            </w:pPr>
            <w:r/>
            <w:r>
              <w:rPr>
                <w:sz w:val="22"/>
              </w:rPr>
              <w:t>6</w:t>
            </w:r>
          </w:p>
        </w:tc>
      </w:tr>
      <w:tr>
        <w:tc>
          <w:tcPr>
            <w:tcW w:type="dxa" w:w="7598"/>
          </w:tcPr>
          <w:p>
            <w:pPr>
              <w:ind w:left="227" w:hanging="227"/>
            </w:pPr>
            <w:r/>
            <w:r>
              <w:rPr>
                <w:rFonts w:eastAsia="楷体" w:hint="eastAsia"/>
                <w:sz w:val="22"/>
              </w:rPr>
              <w:t>• Demonstrates a thorough understanding of the effectiveness of Wenhao's argument, with detailed reference to the content and language techniques of the text</w:t>
            </w:r>
          </w:p>
        </w:tc>
        <w:tc>
          <w:tcPr>
            <w:tcW w:type="dxa" w:w="1418"/>
          </w:tcPr>
          <w:p>
            <w:pPr>
              <w:jc w:val="center"/>
            </w:pPr>
            <w:r/>
            <w:r>
              <w:rPr>
                <w:sz w:val="22"/>
              </w:rPr>
              <w:t>5</w:t>
            </w:r>
          </w:p>
        </w:tc>
      </w:tr>
      <w:tr>
        <w:tc>
          <w:tcPr>
            <w:tcW w:type="dxa" w:w="7598"/>
          </w:tcPr>
          <w:p>
            <w:pPr>
              <w:ind w:left="227" w:hanging="227"/>
            </w:pPr>
            <w:r/>
            <w:r>
              <w:rPr>
                <w:rFonts w:eastAsia="楷体" w:hint="eastAsia"/>
                <w:sz w:val="22"/>
              </w:rPr>
              <w:t>• Demonstrates a sound understanding of the effectiveness of Wenhao's argument, with reference to the content and language techniques of the text</w:t>
            </w:r>
          </w:p>
        </w:tc>
        <w:tc>
          <w:tcPr>
            <w:tcW w:type="dxa" w:w="1418"/>
          </w:tcPr>
          <w:p>
            <w:pPr>
              <w:jc w:val="center"/>
            </w:pPr>
            <w:r/>
            <w:r>
              <w:rPr>
                <w:sz w:val="22"/>
              </w:rPr>
              <w:t>4</w:t>
            </w:r>
          </w:p>
        </w:tc>
      </w:tr>
      <w:tr>
        <w:tc>
          <w:tcPr>
            <w:tcW w:type="dxa" w:w="7598"/>
          </w:tcPr>
          <w:p>
            <w:pPr>
              <w:ind w:left="227" w:hanging="227"/>
            </w:pPr>
            <w:r/>
            <w:r>
              <w:rPr>
                <w:rFonts w:eastAsia="楷体" w:hint="eastAsia"/>
                <w:sz w:val="22"/>
              </w:rPr>
              <w:t>• Demonstrates some understanding of the effectiveness of Wenhao's argument, with limited reference to the text</w:t>
            </w:r>
          </w:p>
        </w:tc>
        <w:tc>
          <w:tcPr>
            <w:tcW w:type="dxa" w:w="1418"/>
          </w:tcPr>
          <w:p>
            <w:pPr>
              <w:jc w:val="center"/>
            </w:pPr>
            <w:r/>
            <w:r>
              <w:rPr>
                <w:sz w:val="22"/>
              </w:rPr>
              <w:t>2–3</w:t>
            </w:r>
          </w:p>
        </w:tc>
      </w:tr>
      <w:tr>
        <w:tc>
          <w:tcPr>
            <w:tcW w:type="dxa" w:w="7598"/>
          </w:tcPr>
          <w:p>
            <w:pPr>
              <w:ind w:left="227" w:hanging="227"/>
            </w:pPr>
            <w:r/>
            <w:r>
              <w:rPr>
                <w:rFonts w:eastAsia="楷体" w:hint="eastAsia"/>
                <w:sz w:val="22"/>
              </w:rPr>
              <w:t>• Provides some relevant information</w:t>
            </w:r>
          </w:p>
        </w:tc>
        <w:tc>
          <w:tcPr>
            <w:tcW w:type="dxa" w:w="1418"/>
          </w:tcPr>
          <w:p>
            <w:pPr>
              <w:jc w:val="center"/>
            </w:pPr>
            <w:r/>
            <w:r>
              <w:rPr>
                <w:sz w:val="22"/>
              </w:rPr>
              <w:t>1</w:t>
            </w:r>
          </w:p>
        </w:tc>
      </w:tr>
    </w:tbl>
    <w:p>
      <w:pPr>
        <w:keepNext/>
        <w:spacing w:before="120"/>
      </w:pPr>
      <w:r>
        <w:rPr>
          <w:b/>
          <w:i/>
          <w:sz w:val="22"/>
        </w:rPr>
        <w:t>Sample answer:</w:t>
      </w:r>
    </w:p>
    <w:p>
      <w:r>
        <w:rPr>
          <w:sz w:val="22"/>
        </w:rPr>
        <w:t>Wenhao's argument is highly convincing through both its content and its language techniques. He opens with a pointed rhetorical question — 「难道你考试的时候也可以用人工智能吗？」 ('surely you can't use AI in the exam as well?') — exposing the gap between assisted homework and unaided performance. His analogy — 「学习就像锻炼身体，别人不能替你跑步，机器也不能替你思考」 ('study is like exercise: no one can run for you, and no machine can think for you') — makes an abstract point concrete and hard to refute. He supports it with the concrete example of classmates whose homework is 「写得漂亮极了」 ('written beautifully') yet who can do nothing in exams, and escalates the long-term consequences — 「时间长了，你会习惯什么都先问它，连自己想一想都不愿意」 ('over time you get used to asking it about everything first, unwilling even to think for yourself'). His closing contrast — 「我们学中文，是为了自己会用，不是为了交一份漂亮的作业」 ('we learn Chinese to be able to use it ourselves, not to hand in a beautiful assignment') — reframes the whole debate around purpose. One limitation is that he never addresses Jiajia's distinction between AI checking and AI writing, so part of his attack targets a position she does not actually hold; nevertheless, the vivid analogy, concrete evidence and escalating consequences make his post the more rhetorically forceful of the two.</w:t>
      </w:r>
    </w:p>
    <w:p/>
    <w:p>
      <w:pPr>
        <w:keepNext/>
        <w:pageBreakBefore/>
        <w:spacing w:after="40" w:before="120"/>
      </w:pPr>
      <w:r>
        <w:rPr>
          <w:b/>
          <w:sz w:val="26"/>
        </w:rPr>
        <w:t>Section II — Reading and Responding</w:t>
      </w:r>
    </w:p>
    <w:p>
      <w:pPr>
        <w:keepNext/>
        <w:spacing w:after="40" w:before="0"/>
      </w:pPr>
      <w:r>
        <w:rPr>
          <w:b/>
          <w:sz w:val="26"/>
        </w:rPr>
        <w:t>Part B</w:t>
      </w:r>
    </w:p>
    <w:p>
      <w:pPr>
        <w:keepNext/>
        <w:spacing w:after="80" w:before="160"/>
      </w:pPr>
      <w:r>
        <w:rPr>
          <w:b/>
          <w:sz w:val="24"/>
        </w:rPr>
        <w:t>Question 11</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Demonstrates an excellent understanding of the whole text</w:t>
            </w:r>
          </w:p>
          <w:p>
            <w:pPr>
              <w:ind w:left="227" w:hanging="227"/>
            </w:pPr>
            <w:r>
              <w:rPr>
                <w:rFonts w:eastAsia="楷体" w:hint="eastAsia"/>
                <w:sz w:val="22"/>
              </w:rPr>
              <w:t>• Manipulates language authentically and creatively to meet the requirements of the task</w:t>
            </w:r>
          </w:p>
          <w:p>
            <w:pPr>
              <w:ind w:left="227" w:hanging="227"/>
            </w:pPr>
            <w:r>
              <w:rPr>
                <w:rFonts w:eastAsia="楷体" w:hint="eastAsia"/>
                <w:sz w:val="22"/>
              </w:rPr>
              <w:t>• Organises information and ideas to meet the requirements of the task</w:t>
            </w:r>
          </w:p>
        </w:tc>
        <w:tc>
          <w:tcPr>
            <w:tcW w:type="dxa" w:w="1418"/>
          </w:tcPr>
          <w:p>
            <w:pPr>
              <w:jc w:val="center"/>
            </w:pPr>
            <w:r/>
            <w:r>
              <w:rPr>
                <w:sz w:val="22"/>
              </w:rPr>
              <w:t>13–15</w:t>
            </w:r>
          </w:p>
        </w:tc>
      </w:tr>
      <w:tr>
        <w:tc>
          <w:tcPr>
            <w:tcW w:type="dxa" w:w="7598"/>
          </w:tcPr>
          <w:p>
            <w:pPr>
              <w:ind w:left="227" w:hanging="227"/>
            </w:pPr>
            <w:r/>
            <w:r>
              <w:rPr>
                <w:rFonts w:eastAsia="楷体" w:hint="eastAsia"/>
                <w:sz w:val="22"/>
              </w:rPr>
              <w:t>• Demonstrates a good understanding of the text</w:t>
            </w:r>
          </w:p>
          <w:p>
            <w:pPr>
              <w:ind w:left="227" w:hanging="227"/>
            </w:pPr>
            <w:r>
              <w:rPr>
                <w:rFonts w:eastAsia="楷体" w:hint="eastAsia"/>
                <w:sz w:val="22"/>
              </w:rPr>
              <w:t>• Manipulates language with some degree of authenticity and creativity to meet the requirements of the task</w:t>
            </w:r>
          </w:p>
          <w:p>
            <w:pPr>
              <w:ind w:left="227" w:hanging="227"/>
            </w:pPr>
            <w:r>
              <w:rPr>
                <w:rFonts w:eastAsia="楷体" w:hint="eastAsia"/>
                <w:sz w:val="22"/>
              </w:rPr>
              <w:t>• Organises information and ideas to meet the requirements of the task</w:t>
            </w:r>
          </w:p>
        </w:tc>
        <w:tc>
          <w:tcPr>
            <w:tcW w:type="dxa" w:w="1418"/>
          </w:tcPr>
          <w:p>
            <w:pPr>
              <w:jc w:val="center"/>
            </w:pPr>
            <w:r/>
            <w:r>
              <w:rPr>
                <w:sz w:val="22"/>
              </w:rPr>
              <w:t>10–12</w:t>
            </w:r>
          </w:p>
        </w:tc>
      </w:tr>
      <w:tr>
        <w:tc>
          <w:tcPr>
            <w:tcW w:type="dxa" w:w="7598"/>
          </w:tcPr>
          <w:p>
            <w:pPr>
              <w:ind w:left="227" w:hanging="227"/>
            </w:pPr>
            <w:r/>
            <w:r>
              <w:rPr>
                <w:rFonts w:eastAsia="楷体" w:hint="eastAsia"/>
                <w:sz w:val="22"/>
              </w:rPr>
              <w:t>• Responds to some of the questions, statements, comments and/or specific information in the text</w:t>
            </w:r>
          </w:p>
          <w:p>
            <w:pPr>
              <w:ind w:left="227" w:hanging="227"/>
            </w:pPr>
            <w:r>
              <w:rPr>
                <w:rFonts w:eastAsia="楷体" w:hint="eastAsia"/>
                <w:sz w:val="22"/>
              </w:rPr>
              <w:t>• Demonstrates a satisfactory knowledge and understanding of vocabulary and sentence structures</w:t>
            </w:r>
          </w:p>
          <w:p>
            <w:pPr>
              <w:ind w:left="227" w:hanging="227"/>
            </w:pPr>
            <w:r>
              <w:rPr>
                <w:rFonts w:eastAsia="楷体" w:hint="eastAsia"/>
                <w:sz w:val="22"/>
              </w:rPr>
              <w:t>• Attempts to structure relevant information and ideas</w:t>
            </w:r>
          </w:p>
        </w:tc>
        <w:tc>
          <w:tcPr>
            <w:tcW w:type="dxa" w:w="1418"/>
          </w:tcPr>
          <w:p>
            <w:pPr>
              <w:jc w:val="center"/>
            </w:pPr>
            <w:r/>
            <w:r>
              <w:rPr>
                <w:sz w:val="22"/>
              </w:rPr>
              <w:t>7–9</w:t>
            </w:r>
          </w:p>
        </w:tc>
      </w:tr>
      <w:tr>
        <w:tc>
          <w:tcPr>
            <w:tcW w:type="dxa" w:w="7598"/>
          </w:tcPr>
          <w:p>
            <w:pPr>
              <w:ind w:left="227" w:hanging="227"/>
            </w:pPr>
            <w:r/>
            <w:r>
              <w:rPr>
                <w:rFonts w:eastAsia="楷体" w:hint="eastAsia"/>
                <w:sz w:val="22"/>
              </w:rPr>
              <w:t>• Responds to some of the questions, statements, comments and/or specific information in the text</w:t>
            </w:r>
          </w:p>
          <w:p>
            <w:pPr>
              <w:ind w:left="227" w:hanging="227"/>
            </w:pPr>
            <w:r>
              <w:rPr>
                <w:rFonts w:eastAsia="楷体" w:hint="eastAsia"/>
                <w:sz w:val="22"/>
              </w:rPr>
              <w:t>• Demonstrates a basic knowledge and understanding of vocabulary and sentence structures</w:t>
            </w:r>
          </w:p>
          <w:p>
            <w:pPr>
              <w:ind w:left="227" w:hanging="227"/>
            </w:pPr>
            <w:r>
              <w:rPr>
                <w:rFonts w:eastAsia="楷体" w:hint="eastAsia"/>
                <w:sz w:val="22"/>
              </w:rPr>
              <w:t>• Demonstrates limited ability to link information and ideas or structure text</w:t>
            </w:r>
          </w:p>
        </w:tc>
        <w:tc>
          <w:tcPr>
            <w:tcW w:type="dxa" w:w="1418"/>
          </w:tcPr>
          <w:p>
            <w:pPr>
              <w:jc w:val="center"/>
            </w:pPr>
            <w:r/>
            <w:r>
              <w:rPr>
                <w:sz w:val="22"/>
              </w:rPr>
              <w:t>4–6</w:t>
            </w:r>
          </w:p>
        </w:tc>
      </w:tr>
      <w:tr>
        <w:tc>
          <w:tcPr>
            <w:tcW w:type="dxa" w:w="7598"/>
          </w:tcPr>
          <w:p>
            <w:pPr>
              <w:ind w:left="227" w:hanging="227"/>
            </w:pPr>
            <w:r/>
            <w:r>
              <w:rPr>
                <w:rFonts w:eastAsia="楷体" w:hint="eastAsia"/>
                <w:sz w:val="22"/>
              </w:rPr>
              <w:t>• Responds to isolated elements in the text</w:t>
            </w:r>
          </w:p>
          <w:p>
            <w:pPr>
              <w:ind w:left="227" w:hanging="227"/>
            </w:pPr>
            <w:r>
              <w:rPr>
                <w:rFonts w:eastAsia="楷体" w:hint="eastAsia"/>
                <w:sz w:val="22"/>
              </w:rPr>
              <w:t>• Uses single words or set formulae to express information</w:t>
            </w:r>
          </w:p>
        </w:tc>
        <w:tc>
          <w:tcPr>
            <w:tcW w:type="dxa" w:w="1418"/>
          </w:tcPr>
          <w:p>
            <w:pPr>
              <w:jc w:val="center"/>
            </w:pPr>
            <w:r/>
            <w:r>
              <w:rPr>
                <w:sz w:val="22"/>
              </w:rPr>
              <w:t>1–3</w:t>
            </w:r>
          </w:p>
        </w:tc>
      </w:tr>
    </w:tbl>
    <w:p>
      <w:pPr>
        <w:keepNext/>
        <w:spacing w:before="120"/>
      </w:pPr>
      <w:r>
        <w:rPr>
          <w:b/>
          <w:i/>
          <w:sz w:val="22"/>
        </w:rPr>
        <w:t>Answers could include:</w:t>
      </w:r>
    </w:p>
    <w:p>
      <w:pPr>
        <w:ind w:left="227" w:hanging="227"/>
      </w:pPr>
      <w:r>
        <w:rPr>
          <w:sz w:val="22"/>
        </w:rPr>
        <w:t>• Empathy for Siqi’s loneliness and difficulty making friends</w:t>
      </w:r>
    </w:p>
    <w:p>
      <w:pPr>
        <w:ind w:left="227" w:hanging="227"/>
      </w:pPr>
      <w:r>
        <w:rPr>
          <w:sz w:val="22"/>
        </w:rPr>
        <w:t>• Advice on initiating conversations and sharing interests</w:t>
      </w:r>
    </w:p>
    <w:p>
      <w:pPr>
        <w:ind w:left="227" w:hanging="227"/>
      </w:pPr>
      <w:r>
        <w:rPr>
          <w:sz w:val="22"/>
        </w:rPr>
        <w:t>• Encouragement regarding basketball team and persistence</w:t>
      </w:r>
    </w:p>
    <w:p>
      <w:pPr>
        <w:ind w:left="227" w:hanging="227"/>
      </w:pPr>
      <w:r>
        <w:rPr>
          <w:sz w:val="22"/>
        </w:rPr>
        <w:t>• Perspective on returning to old school vs. adjusting</w:t>
      </w:r>
    </w:p>
    <w:p>
      <w:pPr>
        <w:ind w:left="227" w:hanging="227"/>
      </w:pPr>
      <w:r>
        <w:rPr>
          <w:sz w:val="22"/>
        </w:rPr>
        <w:t>• Personal experience of making friends in Australia</w:t>
      </w:r>
    </w:p>
    <w:p>
      <w:pPr>
        <w:ind w:left="227" w:hanging="227"/>
      </w:pPr>
      <w:r>
        <w:rPr>
          <w:sz w:val="22"/>
        </w:rPr>
        <w:t>• Positive outlook and realistic expectations for adjustment</w:t>
      </w:r>
    </w:p>
    <w:p>
      <w:pPr>
        <w:keepNext/>
        <w:spacing w:before="120"/>
      </w:pPr>
      <w:r>
        <w:rPr>
          <w:b/>
          <w:sz w:val="22"/>
        </w:rPr>
        <w:t>Sample response (for teacher reference):</w:t>
      </w:r>
    </w:p>
    <w:p>
      <w:r>
        <w:rPr>
          <w:rFonts w:eastAsia="楷体" w:hint="eastAsia"/>
          <w:sz w:val="22"/>
        </w:rPr>
        <w:t>思琦：</w:t>
      </w:r>
    </w:p>
    <w:p>
      <w:r>
        <w:rPr>
          <w:rFonts w:eastAsia="楷体" w:hint="eastAsia"/>
          <w:sz w:val="22"/>
        </w:rPr>
        <w:t xml:space="preserve">  你好！看了你的信，我很理解你的感受。俗话说“万事开头难”，刚到新学校的时候谁都会觉得不适应，你不要太担心。</w:t>
      </w:r>
    </w:p>
    <w:p>
      <w:r>
        <w:rPr>
          <w:rFonts w:eastAsia="楷体" w:hint="eastAsia"/>
          <w:sz w:val="22"/>
        </w:rPr>
        <w:t xml:space="preserve">  我建议你先从小事做起。妈妈常说“多个朋友多条路”，下课的时候可以主动问旁边的同学问题，或者分享你的零食。虽然他们已经有朋友了，但是大家都喜欢跟热情的人交朋友。关于篮球队，你不要着急。如果你坚持去练习，他们慢慢就会接受你的。</w:t>
      </w:r>
    </w:p>
    <w:p>
      <w:r>
        <w:rPr>
          <w:rFonts w:eastAsia="楷体" w:hint="eastAsia"/>
          <w:sz w:val="22"/>
        </w:rPr>
        <w:t xml:space="preserve">  我刚到澳大利亚的时候也很孤单，后来参加了学校的中文社团，不但认识了很多朋友，而且帮助了很多想学中文的同学。所以，不要想着回老学校了，试试看吧！我相信你一定会交到好朋友的。</w:t>
      </w:r>
    </w:p>
    <w:p>
      <w:r>
        <w:rPr>
          <w:rFonts w:eastAsia="楷体" w:hint="eastAsia"/>
          <w:sz w:val="22"/>
        </w:rPr>
        <w:t>祝你一切顺利</w:t>
      </w:r>
    </w:p>
    <w:p>
      <w:r>
        <w:rPr>
          <w:rFonts w:eastAsia="楷体" w:hint="eastAsia"/>
          <w:sz w:val="22"/>
        </w:rPr>
        <w:t>文杰</w:t>
      </w:r>
    </w:p>
    <w:p>
      <w:r>
        <w:rPr>
          <w:rFonts w:eastAsia="楷体" w:hint="eastAsia"/>
          <w:sz w:val="22"/>
        </w:rPr>
        <w:t>六月十日</w:t>
      </w:r>
    </w:p>
    <w:p/>
    <w:p>
      <w:pPr>
        <w:keepNext/>
        <w:pageBreakBefore/>
        <w:spacing w:after="40" w:before="120"/>
      </w:pPr>
      <w:r>
        <w:rPr>
          <w:b/>
          <w:sz w:val="26"/>
        </w:rPr>
        <w:t>Section III — Writing in Chinese</w:t>
      </w:r>
    </w:p>
    <w:p>
      <w:pPr>
        <w:keepNext/>
        <w:spacing w:after="80" w:before="160"/>
      </w:pPr>
      <w:r>
        <w:rPr>
          <w:b/>
          <w:sz w:val="24"/>
        </w:rPr>
        <w:t>Question 12</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Writes effectively and appropriately in relation to the audience, purpose and context of the task</w:t>
            </w:r>
          </w:p>
          <w:p>
            <w:pPr>
              <w:ind w:left="227" w:hanging="227"/>
            </w:pPr>
            <w:r>
              <w:rPr>
                <w:rFonts w:eastAsia="楷体" w:hint="eastAsia"/>
                <w:sz w:val="22"/>
              </w:rPr>
              <w:t>• Manipulates vocabulary, language structures and features authentically and creatively relevant to the task</w:t>
            </w:r>
          </w:p>
        </w:tc>
        <w:tc>
          <w:tcPr>
            <w:tcW w:type="dxa" w:w="1418"/>
          </w:tcPr>
          <w:p>
            <w:pPr>
              <w:jc w:val="center"/>
            </w:pPr>
            <w:r/>
            <w:r>
              <w:rPr>
                <w:sz w:val="22"/>
              </w:rPr>
              <w:t>5</w:t>
            </w:r>
          </w:p>
        </w:tc>
      </w:tr>
      <w:tr>
        <w:tc>
          <w:tcPr>
            <w:tcW w:type="dxa" w:w="7598"/>
          </w:tcPr>
          <w:p>
            <w:pPr>
              <w:ind w:left="227" w:hanging="227"/>
            </w:pPr>
            <w:r/>
            <w:r>
              <w:rPr>
                <w:rFonts w:eastAsia="楷体" w:hint="eastAsia"/>
                <w:sz w:val="22"/>
              </w:rPr>
              <w:t>• Writes with a good understanding of the audience, purpose and context of the task</w:t>
            </w:r>
          </w:p>
          <w:p>
            <w:pPr>
              <w:ind w:left="227" w:hanging="227"/>
            </w:pPr>
            <w:r>
              <w:rPr>
                <w:rFonts w:eastAsia="楷体" w:hint="eastAsia"/>
                <w:sz w:val="22"/>
              </w:rPr>
              <w:t>• Demonstrates a good understanding of vocabulary, language structures and features relevant to the task</w:t>
            </w:r>
          </w:p>
        </w:tc>
        <w:tc>
          <w:tcPr>
            <w:tcW w:type="dxa" w:w="1418"/>
          </w:tcPr>
          <w:p>
            <w:pPr>
              <w:jc w:val="center"/>
            </w:pPr>
            <w:r/>
            <w:r>
              <w:rPr>
                <w:sz w:val="22"/>
              </w:rPr>
              <w:t>4</w:t>
            </w:r>
          </w:p>
        </w:tc>
      </w:tr>
      <w:tr>
        <w:tc>
          <w:tcPr>
            <w:tcW w:type="dxa" w:w="7598"/>
          </w:tcPr>
          <w:p>
            <w:pPr>
              <w:ind w:left="227" w:hanging="227"/>
            </w:pPr>
            <w:r/>
            <w:r>
              <w:rPr>
                <w:rFonts w:eastAsia="楷体" w:hint="eastAsia"/>
                <w:sz w:val="22"/>
              </w:rPr>
              <w:t>• Writes with some awareness of the audience, purpose and context of the task</w:t>
            </w:r>
          </w:p>
          <w:p>
            <w:pPr>
              <w:ind w:left="227" w:hanging="227"/>
            </w:pPr>
            <w:r>
              <w:rPr>
                <w:rFonts w:eastAsia="楷体" w:hint="eastAsia"/>
                <w:sz w:val="22"/>
              </w:rPr>
              <w:t>• Demonstrates some understanding of vocabulary, language structures and features relevant to the task</w:t>
            </w:r>
          </w:p>
        </w:tc>
        <w:tc>
          <w:tcPr>
            <w:tcW w:type="dxa" w:w="1418"/>
          </w:tcPr>
          <w:p>
            <w:pPr>
              <w:jc w:val="center"/>
            </w:pPr>
            <w:r/>
            <w:r>
              <w:rPr>
                <w:sz w:val="22"/>
              </w:rPr>
              <w:t>2–3</w:t>
            </w:r>
          </w:p>
        </w:tc>
      </w:tr>
      <w:tr>
        <w:tc>
          <w:tcPr>
            <w:tcW w:type="dxa" w:w="7598"/>
          </w:tcPr>
          <w:p>
            <w:pPr>
              <w:ind w:left="227" w:hanging="227"/>
            </w:pPr>
            <w:r/>
            <w:r>
              <w:rPr>
                <w:rFonts w:eastAsia="楷体" w:hint="eastAsia"/>
                <w:sz w:val="22"/>
              </w:rPr>
              <w:t>• Produces some comprehensible language relevant to the task</w:t>
            </w:r>
          </w:p>
        </w:tc>
        <w:tc>
          <w:tcPr>
            <w:tcW w:type="dxa" w:w="1418"/>
          </w:tcPr>
          <w:p>
            <w:pPr>
              <w:jc w:val="center"/>
            </w:pPr>
            <w:r/>
            <w:r>
              <w:rPr>
                <w:sz w:val="22"/>
              </w:rPr>
              <w:t>1</w:t>
            </w:r>
          </w:p>
        </w:tc>
      </w:tr>
    </w:tbl>
    <w:p>
      <w:pPr>
        <w:keepNext/>
        <w:spacing w:before="120"/>
      </w:pPr>
      <w:r>
        <w:rPr>
          <w:b/>
          <w:sz w:val="22"/>
        </w:rPr>
        <w:t>Sample response (for teacher reference):</w:t>
      </w:r>
    </w:p>
    <w:p>
      <w:r>
        <w:rPr>
          <w:rFonts w:eastAsia="楷体" w:hint="eastAsia"/>
          <w:sz w:val="22"/>
        </w:rPr>
        <w:t>叔叔阿姨你们好！</w:t>
      </w:r>
    </w:p>
    <w:p>
      <w:r>
        <w:rPr>
          <w:rFonts w:eastAsia="楷体" w:hint="eastAsia"/>
          <w:sz w:val="22"/>
        </w:rPr>
        <w:t>我去学校旁边的图书馆借几本书。我大概下午三点半回来，晚饭前一定到家。你们不用等我吃午饭。如果有事，请给我打电话。</w:t>
      </w:r>
    </w:p>
    <w:p>
      <w:r>
        <w:rPr>
          <w:rFonts w:eastAsia="楷体" w:hint="eastAsia"/>
          <w:sz w:val="22"/>
        </w:rPr>
        <w:t>谢谢！</w:t>
      </w:r>
    </w:p>
    <w:p>
      <w:r>
        <w:rPr>
          <w:rFonts w:eastAsia="楷体" w:hint="eastAsia"/>
          <w:sz w:val="22"/>
        </w:rPr>
        <w:t>安德鲁</w:t>
      </w:r>
    </w:p>
    <w:p>
      <w:pPr>
        <w:keepNext/>
        <w:pageBreakBefore/>
        <w:spacing w:after="40" w:before="120"/>
      </w:pPr>
      <w:r>
        <w:rPr>
          <w:b/>
          <w:sz w:val="26"/>
        </w:rPr>
        <w:t>Section III (continued)</w:t>
      </w:r>
    </w:p>
    <w:p>
      <w:pPr>
        <w:keepNext/>
        <w:spacing w:after="80" w:before="160"/>
      </w:pPr>
      <w:r>
        <w:rPr>
          <w:b/>
          <w:sz w:val="24"/>
        </w:rPr>
        <w:t>Question 13</w:t>
      </w:r>
    </w:p>
    <w:tbl>
      <w:tblPr>
        <w:tblW w:type="dxa" w:w="9016"/>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7598"/>
        <w:gridCol w:w="1418"/>
      </w:tblGrid>
      <w:tr>
        <w:tc>
          <w:tcPr>
            <w:tcW w:type="dxa" w:w="7598"/>
          </w:tcPr>
          <w:p>
            <w:r/>
            <w:r>
              <w:rPr>
                <w:b/>
                <w:sz w:val="22"/>
              </w:rPr>
              <w:t>Criteria</w:t>
            </w:r>
          </w:p>
        </w:tc>
        <w:tc>
          <w:tcPr>
            <w:tcW w:type="dxa" w:w="1418"/>
          </w:tcPr>
          <w:p>
            <w:pPr>
              <w:jc w:val="center"/>
            </w:pPr>
            <w:r/>
            <w:r>
              <w:rPr>
                <w:b/>
                <w:sz w:val="22"/>
              </w:rPr>
              <w:t>Marks</w:t>
            </w:r>
          </w:p>
        </w:tc>
      </w:tr>
      <w:tr>
        <w:tc>
          <w:tcPr>
            <w:tcW w:type="dxa" w:w="7598"/>
          </w:tcPr>
          <w:p>
            <w:pPr>
              <w:ind w:left="227" w:hanging="227"/>
            </w:pPr>
            <w:r/>
            <w:r>
              <w:rPr>
                <w:rFonts w:eastAsia="楷体" w:hint="eastAsia"/>
                <w:sz w:val="22"/>
              </w:rPr>
              <w:t>• Writes effectively and appropriately for the audience, purpose and context of the task</w:t>
            </w:r>
          </w:p>
          <w:p>
            <w:pPr>
              <w:ind w:left="227" w:hanging="227"/>
            </w:pPr>
            <w:r>
              <w:rPr>
                <w:rFonts w:eastAsia="楷体" w:hint="eastAsia"/>
                <w:sz w:val="22"/>
              </w:rPr>
              <w:t>• Manipulates language structures authentically and creatively relevant to the task</w:t>
            </w:r>
          </w:p>
          <w:p>
            <w:pPr>
              <w:ind w:left="227" w:hanging="227"/>
            </w:pPr>
            <w:r>
              <w:rPr>
                <w:rFonts w:eastAsia="楷体" w:hint="eastAsia"/>
                <w:sz w:val="22"/>
              </w:rPr>
              <w:t>• Sequences and structures ideas and information coherently and effectively</w:t>
            </w:r>
          </w:p>
        </w:tc>
        <w:tc>
          <w:tcPr>
            <w:tcW w:type="dxa" w:w="1418"/>
          </w:tcPr>
          <w:p>
            <w:pPr>
              <w:jc w:val="center"/>
            </w:pPr>
            <w:r/>
            <w:r>
              <w:rPr>
                <w:sz w:val="22"/>
              </w:rPr>
              <w:t>10</w:t>
            </w:r>
          </w:p>
        </w:tc>
      </w:tr>
      <w:tr>
        <w:tc>
          <w:tcPr>
            <w:tcW w:type="dxa" w:w="7598"/>
          </w:tcPr>
          <w:p>
            <w:pPr>
              <w:ind w:left="227" w:hanging="227"/>
            </w:pPr>
            <w:r/>
            <w:r>
              <w:rPr>
                <w:rFonts w:eastAsia="楷体" w:hint="eastAsia"/>
                <w:sz w:val="22"/>
              </w:rPr>
              <w:t>• Writes with a good understanding of the audience, purpose and context of the task</w:t>
            </w:r>
          </w:p>
          <w:p>
            <w:pPr>
              <w:ind w:left="227" w:hanging="227"/>
            </w:pPr>
            <w:r>
              <w:rPr>
                <w:rFonts w:eastAsia="楷体" w:hint="eastAsia"/>
                <w:sz w:val="22"/>
              </w:rPr>
              <w:t>• Demonstrates an excellent understanding of language structures relevant to the task</w:t>
            </w:r>
          </w:p>
          <w:p>
            <w:pPr>
              <w:ind w:left="227" w:hanging="227"/>
            </w:pPr>
            <w:r>
              <w:rPr>
                <w:rFonts w:eastAsia="楷体" w:hint="eastAsia"/>
                <w:sz w:val="22"/>
              </w:rPr>
              <w:t>• Sequences and structures ideas and information effectively</w:t>
            </w:r>
          </w:p>
        </w:tc>
        <w:tc>
          <w:tcPr>
            <w:tcW w:type="dxa" w:w="1418"/>
          </w:tcPr>
          <w:p>
            <w:pPr>
              <w:jc w:val="center"/>
            </w:pPr>
            <w:r/>
            <w:r>
              <w:rPr>
                <w:sz w:val="22"/>
              </w:rPr>
              <w:t>8–9</w:t>
            </w:r>
          </w:p>
        </w:tc>
      </w:tr>
      <w:tr>
        <w:tc>
          <w:tcPr>
            <w:tcW w:type="dxa" w:w="7598"/>
          </w:tcPr>
          <w:p>
            <w:pPr>
              <w:ind w:left="227" w:hanging="227"/>
            </w:pPr>
            <w:r/>
            <w:r>
              <w:rPr>
                <w:rFonts w:eastAsia="楷体" w:hint="eastAsia"/>
                <w:sz w:val="22"/>
              </w:rPr>
              <w:t>• Writes with an understanding of the audience, purpose and context of the task</w:t>
            </w:r>
          </w:p>
          <w:p>
            <w:pPr>
              <w:ind w:left="227" w:hanging="227"/>
            </w:pPr>
            <w:r>
              <w:rPr>
                <w:rFonts w:eastAsia="楷体" w:hint="eastAsia"/>
                <w:sz w:val="22"/>
              </w:rPr>
              <w:t>• Demonstrates a good understanding of language structures relevant to the task</w:t>
            </w:r>
          </w:p>
          <w:p>
            <w:pPr>
              <w:ind w:left="227" w:hanging="227"/>
            </w:pPr>
            <w:r>
              <w:rPr>
                <w:rFonts w:eastAsia="楷体" w:hint="eastAsia"/>
                <w:sz w:val="22"/>
              </w:rPr>
              <w:t>• Organises some information and ideas</w:t>
            </w:r>
          </w:p>
        </w:tc>
        <w:tc>
          <w:tcPr>
            <w:tcW w:type="dxa" w:w="1418"/>
          </w:tcPr>
          <w:p>
            <w:pPr>
              <w:jc w:val="center"/>
            </w:pPr>
            <w:r/>
            <w:r>
              <w:rPr>
                <w:sz w:val="22"/>
              </w:rPr>
              <w:t>6–7</w:t>
            </w:r>
          </w:p>
        </w:tc>
      </w:tr>
      <w:tr>
        <w:tc>
          <w:tcPr>
            <w:tcW w:type="dxa" w:w="7598"/>
          </w:tcPr>
          <w:p>
            <w:pPr>
              <w:ind w:left="227" w:hanging="227"/>
            </w:pPr>
            <w:r/>
            <w:r>
              <w:rPr>
                <w:rFonts w:eastAsia="楷体" w:hint="eastAsia"/>
                <w:sz w:val="22"/>
              </w:rPr>
              <w:t>• Presents some information, opinions or ideas relevant to the task</w:t>
            </w:r>
          </w:p>
          <w:p>
            <w:pPr>
              <w:ind w:left="227" w:hanging="227"/>
            </w:pPr>
            <w:r>
              <w:rPr>
                <w:rFonts w:eastAsia="楷体" w:hint="eastAsia"/>
                <w:sz w:val="22"/>
              </w:rPr>
              <w:t>• Demonstrates a rudimentary understanding of vocabulary and sentence structures</w:t>
            </w:r>
          </w:p>
          <w:p>
            <w:pPr>
              <w:ind w:left="227" w:hanging="227"/>
            </w:pPr>
            <w:r>
              <w:rPr>
                <w:rFonts w:eastAsia="楷体" w:hint="eastAsia"/>
                <w:sz w:val="22"/>
              </w:rPr>
              <w:t>• Attempts to organise information and ideas</w:t>
            </w:r>
          </w:p>
        </w:tc>
        <w:tc>
          <w:tcPr>
            <w:tcW w:type="dxa" w:w="1418"/>
          </w:tcPr>
          <w:p>
            <w:pPr>
              <w:jc w:val="center"/>
            </w:pPr>
            <w:r/>
            <w:r>
              <w:rPr>
                <w:sz w:val="22"/>
              </w:rPr>
              <w:t>4–5</w:t>
            </w:r>
          </w:p>
        </w:tc>
      </w:tr>
      <w:tr>
        <w:tc>
          <w:tcPr>
            <w:tcW w:type="dxa" w:w="7598"/>
          </w:tcPr>
          <w:p>
            <w:pPr>
              <w:ind w:left="227" w:hanging="227"/>
            </w:pPr>
            <w:r/>
            <w:r>
              <w:rPr>
                <w:rFonts w:eastAsia="楷体" w:hint="eastAsia"/>
                <w:sz w:val="22"/>
              </w:rPr>
              <w:t>• Attempts to address the requirements of the task</w:t>
            </w:r>
          </w:p>
          <w:p>
            <w:pPr>
              <w:ind w:left="227" w:hanging="227"/>
            </w:pPr>
            <w:r>
              <w:rPr>
                <w:rFonts w:eastAsia="楷体" w:hint="eastAsia"/>
                <w:sz w:val="22"/>
              </w:rPr>
              <w:t>• Uses single words, set formulae and unrelated sentences to express information</w:t>
            </w:r>
          </w:p>
        </w:tc>
        <w:tc>
          <w:tcPr>
            <w:tcW w:type="dxa" w:w="1418"/>
          </w:tcPr>
          <w:p>
            <w:pPr>
              <w:jc w:val="center"/>
            </w:pPr>
            <w:r/>
            <w:r>
              <w:rPr>
                <w:sz w:val="22"/>
              </w:rPr>
              <w:t>2–3</w:t>
            </w:r>
          </w:p>
        </w:tc>
      </w:tr>
      <w:tr>
        <w:tc>
          <w:tcPr>
            <w:tcW w:type="dxa" w:w="7598"/>
          </w:tcPr>
          <w:p>
            <w:pPr>
              <w:ind w:left="227" w:hanging="227"/>
            </w:pPr>
            <w:r/>
            <w:r>
              <w:rPr>
                <w:rFonts w:eastAsia="楷体" w:hint="eastAsia"/>
                <w:sz w:val="22"/>
              </w:rPr>
              <w:t>• Produces some comprehensible language relevant to the task</w:t>
            </w:r>
          </w:p>
        </w:tc>
        <w:tc>
          <w:tcPr>
            <w:tcW w:type="dxa" w:w="1418"/>
          </w:tcPr>
          <w:p>
            <w:pPr>
              <w:jc w:val="center"/>
            </w:pPr>
            <w:r/>
            <w:r>
              <w:rPr>
                <w:sz w:val="22"/>
              </w:rPr>
              <w:t>1</w:t>
            </w:r>
          </w:p>
        </w:tc>
      </w:tr>
    </w:tbl>
    <w:p>
      <w:pPr>
        <w:keepNext/>
        <w:spacing w:before="120"/>
      </w:pPr>
      <w:r>
        <w:rPr>
          <w:b/>
          <w:sz w:val="22"/>
        </w:rPr>
        <w:t>Sample response — Question 13 (a) (for teacher reference):</w:t>
      </w:r>
    </w:p>
    <w:p>
      <w:r>
        <w:rPr>
          <w:rFonts w:eastAsia="楷体" w:hint="eastAsia"/>
          <w:sz w:val="22"/>
        </w:rPr>
        <w:t>七月十二日  星期日  天气：晴</w:t>
      </w:r>
    </w:p>
    <w:p>
      <w:r>
        <w:rPr>
          <w:rFonts w:eastAsia="楷体" w:hint="eastAsia"/>
          <w:sz w:val="22"/>
        </w:rPr>
        <w:t>这个周末，我参加了学校组织的中文文化营，到现在心里还是很兴奋！</w:t>
      </w:r>
    </w:p>
    <w:p>
      <w:r>
        <w:rPr>
          <w:rFonts w:eastAsia="楷体" w:hint="eastAsia"/>
          <w:sz w:val="22"/>
        </w:rPr>
        <w:t>两天里，我们学了很多课堂上学不到的东西。星期六上午是包饺子比赛，我包的饺子虽然样子不太好看，可是味道很不错！下午我们学剪纸，老师几下子就把一张红纸剪成了一只漂亮的蝴蝶。我练了很久，终于也剪出了一个“喜”字，我要把它送给妈妈。晚上每个小组都要用中文表演一个小节目，我们组唱了一首中文歌，大家都笑得特别开心。</w:t>
      </w:r>
    </w:p>
    <w:p>
      <w:r>
        <w:rPr>
          <w:rFonts w:eastAsia="楷体" w:hint="eastAsia"/>
          <w:sz w:val="22"/>
        </w:rPr>
        <w:t>以前我总觉得学中文就是背生词、做练习，这次文化营让我明白，语言后面还有这么丰富的文化。俗话说：“读万卷书，不如行万里路。”亲身体验真的比课本有趣多了。我已经开始期待明年的文化营了！</w:t>
      </w:r>
    </w:p>
    <w:p/>
    <w:p>
      <w:pPr>
        <w:keepNext/>
        <w:spacing w:before="120"/>
      </w:pPr>
      <w:r>
        <w:rPr>
          <w:b/>
          <w:sz w:val="22"/>
        </w:rPr>
        <w:t>Sample response — Question 13 (b) (for teacher reference):</w:t>
      </w:r>
    </w:p>
    <w:p>
      <w:r>
        <w:rPr>
          <w:rFonts w:eastAsia="楷体" w:hint="eastAsia"/>
          <w:sz w:val="22"/>
        </w:rPr>
        <w:t>六月二十一日  星期日  天气：晴</w:t>
      </w:r>
    </w:p>
    <w:p>
      <w:r>
        <w:rPr>
          <w:rFonts w:eastAsia="楷体" w:hint="eastAsia"/>
          <w:sz w:val="22"/>
        </w:rPr>
        <w:t>上个星期，我去一家医院做了一周的工作体验，因为我一直对当医生这份工作很感兴趣。这是我第一次真正了解医生的日常工作。</w:t>
      </w:r>
    </w:p>
    <w:p>
      <w:r>
        <w:rPr>
          <w:rFonts w:eastAsia="楷体" w:hint="eastAsia"/>
          <w:sz w:val="22"/>
        </w:rPr>
        <w:t>第一天，我有点紧张，但是医院里的医生和护士都很热情，耐心地教我很多东西。我看到医生们要看很多病人，跟他们解释病情，还要写很多报告。工作虽然忙，但是大家都很专心。</w:t>
      </w:r>
    </w:p>
    <w:p>
      <w:r>
        <w:rPr>
          <w:rFonts w:eastAsia="楷体" w:hint="eastAsia"/>
          <w:sz w:val="22"/>
        </w:rPr>
        <w:t>最让我感动的是，一位医生帮一个生病的小孩做检查，然后笑着告诉他“很快就会好”。那一刻，我感觉医生这份工作不只是治病，更是给病人和家人希望。</w:t>
      </w:r>
    </w:p>
    <w:p>
      <w:r>
        <w:rPr>
          <w:rFonts w:eastAsia="楷体" w:hint="eastAsia"/>
          <w:sz w:val="22"/>
        </w:rPr>
        <w:t>通过这一个星期，我更确定将来想当医生。古人说“有志者事竟成”，只要心里有这个目标，并认真努力，就一定能实现。我要好好学习理科，希望大学能学医，将来做对社会有用的人！</w:t>
      </w:r>
    </w:p>
    <w:p>
      <w:pPr>
        <w:keepNext/>
        <w:pageBreakBefore/>
      </w:pPr>
      <w:r>
        <w:rPr>
          <w:b/>
          <w:sz w:val="32"/>
        </w:rPr>
        <w:t>2026 HSC Chinese Continuers</w:t>
      </w:r>
    </w:p>
    <w:p>
      <w:pPr>
        <w:keepNext/>
        <w:spacing w:after="160"/>
      </w:pPr>
      <w:r>
        <w:rPr>
          <w:b/>
          <w:sz w:val="32"/>
        </w:rPr>
        <w:t>Mapping Grid</w:t>
      </w:r>
    </w:p>
    <w:p>
      <w:pPr>
        <w:keepNext/>
        <w:spacing w:after="80"/>
      </w:pPr>
      <w:r>
        <w:rPr>
          <w:b/>
          <w:sz w:val="26"/>
        </w:rPr>
        <w:t>Written Examination</w:t>
      </w:r>
    </w:p>
    <w:p>
      <w:pPr>
        <w:keepNext/>
        <w:spacing w:after="80" w:before="160"/>
      </w:pPr>
      <w:r>
        <w:rPr>
          <w:b/>
          <w:sz w:val="24"/>
        </w:rPr>
        <w:t>Section I — Listening and Responding</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1</w:t>
            </w:r>
          </w:p>
        </w:tc>
        <w:tc>
          <w:tcPr>
            <w:tcW w:type="dxa" w:w="907"/>
          </w:tcPr>
          <w:p>
            <w:pPr>
              <w:jc w:val="center"/>
            </w:pPr>
            <w:r/>
            <w:r>
              <w:rPr>
                <w:sz w:val="22"/>
              </w:rPr>
              <w:t>2</w:t>
            </w:r>
          </w:p>
        </w:tc>
        <w:tc>
          <w:tcPr>
            <w:tcW w:type="dxa" w:w="4706"/>
          </w:tcPr>
          <w:p>
            <w:r/>
            <w:r>
              <w:rPr>
                <w:sz w:val="22"/>
              </w:rPr>
              <w:t>The individual — telephone conversation</w:t>
            </w:r>
          </w:p>
        </w:tc>
        <w:tc>
          <w:tcPr>
            <w:tcW w:type="dxa" w:w="2268"/>
          </w:tcPr>
          <w:p>
            <w:r/>
            <w:r>
              <w:rPr>
                <w:sz w:val="20"/>
              </w:rPr>
              <w:t>H3.1</w:t>
            </w:r>
          </w:p>
        </w:tc>
      </w:tr>
      <w:tr>
        <w:tc>
          <w:tcPr>
            <w:tcW w:type="dxa" w:w="1134"/>
          </w:tcPr>
          <w:p>
            <w:r/>
            <w:r>
              <w:rPr>
                <w:sz w:val="22"/>
              </w:rPr>
              <w:t>2</w:t>
            </w:r>
          </w:p>
        </w:tc>
        <w:tc>
          <w:tcPr>
            <w:tcW w:type="dxa" w:w="907"/>
          </w:tcPr>
          <w:p>
            <w:pPr>
              <w:jc w:val="center"/>
            </w:pPr>
            <w:r/>
            <w:r>
              <w:rPr>
                <w:sz w:val="22"/>
              </w:rPr>
              <w:t>1</w:t>
            </w:r>
          </w:p>
        </w:tc>
        <w:tc>
          <w:tcPr>
            <w:tcW w:type="dxa" w:w="4706"/>
          </w:tcPr>
          <w:p>
            <w:r/>
            <w:r>
              <w:rPr>
                <w:sz w:val="22"/>
              </w:rPr>
              <w:t>The individual — announcement</w:t>
            </w:r>
          </w:p>
        </w:tc>
        <w:tc>
          <w:tcPr>
            <w:tcW w:type="dxa" w:w="2268"/>
          </w:tcPr>
          <w:p>
            <w:r/>
            <w:r>
              <w:rPr>
                <w:sz w:val="20"/>
              </w:rPr>
              <w:t>H3.3</w:t>
            </w:r>
          </w:p>
        </w:tc>
      </w:tr>
      <w:tr>
        <w:tc>
          <w:tcPr>
            <w:tcW w:type="dxa" w:w="1134"/>
          </w:tcPr>
          <w:p>
            <w:r/>
            <w:r>
              <w:rPr>
                <w:sz w:val="22"/>
              </w:rPr>
              <w:t>3</w:t>
            </w:r>
          </w:p>
        </w:tc>
        <w:tc>
          <w:tcPr>
            <w:tcW w:type="dxa" w:w="907"/>
          </w:tcPr>
          <w:p>
            <w:pPr>
              <w:jc w:val="center"/>
            </w:pPr>
            <w:r/>
            <w:r>
              <w:rPr>
                <w:sz w:val="22"/>
              </w:rPr>
              <w:t>3</w:t>
            </w:r>
          </w:p>
        </w:tc>
        <w:tc>
          <w:tcPr>
            <w:tcW w:type="dxa" w:w="4706"/>
          </w:tcPr>
          <w:p>
            <w:r/>
            <w:r>
              <w:rPr>
                <w:sz w:val="22"/>
              </w:rPr>
              <w:t>The individual — conversation</w:t>
            </w:r>
          </w:p>
        </w:tc>
        <w:tc>
          <w:tcPr>
            <w:tcW w:type="dxa" w:w="2268"/>
          </w:tcPr>
          <w:p>
            <w:r/>
            <w:r>
              <w:rPr>
                <w:sz w:val="20"/>
              </w:rPr>
              <w:t>H3.1</w:t>
            </w:r>
          </w:p>
        </w:tc>
      </w:tr>
      <w:tr>
        <w:tc>
          <w:tcPr>
            <w:tcW w:type="dxa" w:w="1134"/>
          </w:tcPr>
          <w:p>
            <w:r/>
            <w:r>
              <w:rPr>
                <w:sz w:val="22"/>
              </w:rPr>
              <w:t>4</w:t>
            </w:r>
          </w:p>
        </w:tc>
        <w:tc>
          <w:tcPr>
            <w:tcW w:type="dxa" w:w="907"/>
          </w:tcPr>
          <w:p>
            <w:pPr>
              <w:jc w:val="center"/>
            </w:pPr>
            <w:r/>
            <w:r>
              <w:rPr>
                <w:sz w:val="22"/>
              </w:rPr>
              <w:t>3</w:t>
            </w:r>
          </w:p>
        </w:tc>
        <w:tc>
          <w:tcPr>
            <w:tcW w:type="dxa" w:w="4706"/>
          </w:tcPr>
          <w:p>
            <w:r/>
            <w:r>
              <w:rPr>
                <w:sz w:val="22"/>
              </w:rPr>
              <w:t>The changing world — speech</w:t>
            </w:r>
          </w:p>
        </w:tc>
        <w:tc>
          <w:tcPr>
            <w:tcW w:type="dxa" w:w="2268"/>
          </w:tcPr>
          <w:p>
            <w:r/>
            <w:r>
              <w:rPr>
                <w:sz w:val="20"/>
              </w:rPr>
              <w:t>H3.2</w:t>
            </w:r>
          </w:p>
        </w:tc>
      </w:tr>
      <w:tr>
        <w:tc>
          <w:tcPr>
            <w:tcW w:type="dxa" w:w="1134"/>
          </w:tcPr>
          <w:p>
            <w:r/>
            <w:r>
              <w:rPr>
                <w:sz w:val="22"/>
              </w:rPr>
              <w:t>5</w:t>
            </w:r>
          </w:p>
        </w:tc>
        <w:tc>
          <w:tcPr>
            <w:tcW w:type="dxa" w:w="907"/>
          </w:tcPr>
          <w:p>
            <w:pPr>
              <w:jc w:val="center"/>
            </w:pPr>
            <w:r/>
            <w:r>
              <w:rPr>
                <w:sz w:val="22"/>
              </w:rPr>
              <w:t>3</w:t>
            </w:r>
          </w:p>
        </w:tc>
        <w:tc>
          <w:tcPr>
            <w:tcW w:type="dxa" w:w="4706"/>
          </w:tcPr>
          <w:p>
            <w:r/>
            <w:r>
              <w:rPr>
                <w:sz w:val="22"/>
              </w:rPr>
              <w:t>The individual — conversation</w:t>
            </w:r>
          </w:p>
        </w:tc>
        <w:tc>
          <w:tcPr>
            <w:tcW w:type="dxa" w:w="2268"/>
          </w:tcPr>
          <w:p>
            <w:r/>
            <w:r>
              <w:rPr>
                <w:sz w:val="20"/>
              </w:rPr>
              <w:t>H3.4</w:t>
            </w:r>
          </w:p>
        </w:tc>
      </w:tr>
      <w:tr>
        <w:tc>
          <w:tcPr>
            <w:tcW w:type="dxa" w:w="1134"/>
          </w:tcPr>
          <w:p>
            <w:r/>
            <w:r>
              <w:rPr>
                <w:sz w:val="22"/>
              </w:rPr>
              <w:t>6</w:t>
            </w:r>
          </w:p>
        </w:tc>
        <w:tc>
          <w:tcPr>
            <w:tcW w:type="dxa" w:w="907"/>
          </w:tcPr>
          <w:p>
            <w:pPr>
              <w:jc w:val="center"/>
            </w:pPr>
            <w:r/>
            <w:r>
              <w:rPr>
                <w:sz w:val="22"/>
              </w:rPr>
              <w:t>4</w:t>
            </w:r>
          </w:p>
        </w:tc>
        <w:tc>
          <w:tcPr>
            <w:tcW w:type="dxa" w:w="4706"/>
          </w:tcPr>
          <w:p>
            <w:r/>
            <w:r>
              <w:rPr>
                <w:sz w:val="22"/>
              </w:rPr>
              <w:t>The individual — interview</w:t>
            </w:r>
          </w:p>
        </w:tc>
        <w:tc>
          <w:tcPr>
            <w:tcW w:type="dxa" w:w="2268"/>
          </w:tcPr>
          <w:p>
            <w:r/>
            <w:r>
              <w:rPr>
                <w:sz w:val="20"/>
              </w:rPr>
              <w:t>H3.2</w:t>
            </w:r>
          </w:p>
        </w:tc>
      </w:tr>
      <w:tr>
        <w:tc>
          <w:tcPr>
            <w:tcW w:type="dxa" w:w="1134"/>
          </w:tcPr>
          <w:p>
            <w:r/>
            <w:r>
              <w:rPr>
                <w:sz w:val="22"/>
              </w:rPr>
              <w:t>7</w:t>
            </w:r>
          </w:p>
        </w:tc>
        <w:tc>
          <w:tcPr>
            <w:tcW w:type="dxa" w:w="907"/>
          </w:tcPr>
          <w:p>
            <w:pPr>
              <w:jc w:val="center"/>
            </w:pPr>
            <w:r/>
            <w:r>
              <w:rPr>
                <w:sz w:val="22"/>
              </w:rPr>
              <w:t>4</w:t>
            </w:r>
          </w:p>
        </w:tc>
        <w:tc>
          <w:tcPr>
            <w:tcW w:type="dxa" w:w="4706"/>
          </w:tcPr>
          <w:p>
            <w:r/>
            <w:r>
              <w:rPr>
                <w:sz w:val="22"/>
              </w:rPr>
              <w:t>The Chinese-speaking communities — conversation</w:t>
            </w:r>
          </w:p>
        </w:tc>
        <w:tc>
          <w:tcPr>
            <w:tcW w:type="dxa" w:w="2268"/>
          </w:tcPr>
          <w:p>
            <w:r/>
            <w:r>
              <w:rPr>
                <w:sz w:val="20"/>
              </w:rPr>
              <w:t>H3.6</w:t>
            </w:r>
          </w:p>
        </w:tc>
      </w:tr>
      <w:tr>
        <w:tc>
          <w:tcPr>
            <w:tcW w:type="dxa" w:w="1134"/>
          </w:tcPr>
          <w:p>
            <w:r/>
            <w:r>
              <w:rPr>
                <w:sz w:val="22"/>
              </w:rPr>
              <w:t>8</w:t>
            </w:r>
          </w:p>
        </w:tc>
        <w:tc>
          <w:tcPr>
            <w:tcW w:type="dxa" w:w="907"/>
          </w:tcPr>
          <w:p>
            <w:pPr>
              <w:jc w:val="center"/>
            </w:pPr>
            <w:r/>
            <w:r>
              <w:rPr>
                <w:sz w:val="22"/>
              </w:rPr>
              <w:t>5</w:t>
            </w:r>
          </w:p>
        </w:tc>
        <w:tc>
          <w:tcPr>
            <w:tcW w:type="dxa" w:w="4706"/>
          </w:tcPr>
          <w:p>
            <w:r/>
            <w:r>
              <w:rPr>
                <w:sz w:val="22"/>
              </w:rPr>
              <w:t>The individual — speech</w:t>
            </w:r>
          </w:p>
        </w:tc>
        <w:tc>
          <w:tcPr>
            <w:tcW w:type="dxa" w:w="2268"/>
          </w:tcPr>
          <w:p>
            <w:r/>
            <w:r>
              <w:rPr>
                <w:sz w:val="20"/>
              </w:rPr>
              <w:t>H3.5</w:t>
            </w:r>
          </w:p>
        </w:tc>
      </w:tr>
    </w:tbl>
    <w:p>
      <w:pPr>
        <w:keepNext/>
        <w:spacing w:after="80" w:before="160"/>
      </w:pPr>
      <w:r>
        <w:rPr>
          <w:b/>
          <w:sz w:val="24"/>
        </w:rPr>
        <w:t>Section II — Reading and Responding Part A</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9 (a)</w:t>
            </w:r>
          </w:p>
        </w:tc>
        <w:tc>
          <w:tcPr>
            <w:tcW w:type="dxa" w:w="907"/>
          </w:tcPr>
          <w:p>
            <w:pPr>
              <w:jc w:val="center"/>
            </w:pPr>
            <w:r/>
            <w:r>
              <w:rPr>
                <w:sz w:val="22"/>
              </w:rPr>
              <w:t>2</w:t>
            </w:r>
          </w:p>
        </w:tc>
        <w:tc>
          <w:tcPr>
            <w:tcW w:type="dxa" w:w="4706"/>
          </w:tcPr>
          <w:p>
            <w:r/>
            <w:r>
              <w:rPr>
                <w:sz w:val="22"/>
              </w:rPr>
              <w:t>The individual — blog post</w:t>
            </w:r>
          </w:p>
        </w:tc>
        <w:tc>
          <w:tcPr>
            <w:tcW w:type="dxa" w:w="2268"/>
          </w:tcPr>
          <w:p>
            <w:r/>
            <w:r>
              <w:rPr>
                <w:sz w:val="20"/>
              </w:rPr>
              <w:t>H3.1</w:t>
            </w:r>
          </w:p>
        </w:tc>
      </w:tr>
      <w:tr>
        <w:tc>
          <w:tcPr>
            <w:tcW w:type="dxa" w:w="1134"/>
          </w:tcPr>
          <w:p>
            <w:r/>
            <w:r>
              <w:rPr>
                <w:sz w:val="22"/>
              </w:rPr>
              <w:t>9 (b)</w:t>
            </w:r>
          </w:p>
        </w:tc>
        <w:tc>
          <w:tcPr>
            <w:tcW w:type="dxa" w:w="907"/>
          </w:tcPr>
          <w:p>
            <w:pPr>
              <w:jc w:val="center"/>
            </w:pPr>
            <w:r/>
            <w:r>
              <w:rPr>
                <w:sz w:val="22"/>
              </w:rPr>
              <w:t>3</w:t>
            </w:r>
          </w:p>
        </w:tc>
        <w:tc>
          <w:tcPr>
            <w:tcW w:type="dxa" w:w="4706"/>
          </w:tcPr>
          <w:p>
            <w:r/>
            <w:r>
              <w:rPr>
                <w:sz w:val="22"/>
              </w:rPr>
              <w:t>The individual — blog post</w:t>
            </w:r>
          </w:p>
        </w:tc>
        <w:tc>
          <w:tcPr>
            <w:tcW w:type="dxa" w:w="2268"/>
          </w:tcPr>
          <w:p>
            <w:r/>
            <w:r>
              <w:rPr>
                <w:sz w:val="20"/>
              </w:rPr>
              <w:t>H3.4</w:t>
            </w:r>
          </w:p>
        </w:tc>
      </w:tr>
      <w:tr>
        <w:tc>
          <w:tcPr>
            <w:tcW w:type="dxa" w:w="1134"/>
          </w:tcPr>
          <w:p>
            <w:r/>
            <w:r>
              <w:rPr>
                <w:sz w:val="22"/>
              </w:rPr>
              <w:t>9 (c)</w:t>
            </w:r>
          </w:p>
        </w:tc>
        <w:tc>
          <w:tcPr>
            <w:tcW w:type="dxa" w:w="907"/>
          </w:tcPr>
          <w:p>
            <w:pPr>
              <w:jc w:val="center"/>
            </w:pPr>
            <w:r/>
            <w:r>
              <w:rPr>
                <w:sz w:val="22"/>
              </w:rPr>
              <w:t>5</w:t>
            </w:r>
          </w:p>
        </w:tc>
        <w:tc>
          <w:tcPr>
            <w:tcW w:type="dxa" w:w="4706"/>
          </w:tcPr>
          <w:p>
            <w:r/>
            <w:r>
              <w:rPr>
                <w:sz w:val="22"/>
              </w:rPr>
              <w:t>The individual — blog post</w:t>
            </w:r>
          </w:p>
        </w:tc>
        <w:tc>
          <w:tcPr>
            <w:tcW w:type="dxa" w:w="2268"/>
          </w:tcPr>
          <w:p>
            <w:r/>
            <w:r>
              <w:rPr>
                <w:sz w:val="20"/>
              </w:rPr>
              <w:t>H3.6</w:t>
            </w:r>
          </w:p>
        </w:tc>
      </w:tr>
      <w:tr>
        <w:tc>
          <w:tcPr>
            <w:tcW w:type="dxa" w:w="1134"/>
          </w:tcPr>
          <w:p>
            <w:r/>
            <w:r>
              <w:rPr>
                <w:sz w:val="22"/>
              </w:rPr>
              <w:t>10 (a)</w:t>
            </w:r>
          </w:p>
        </w:tc>
        <w:tc>
          <w:tcPr>
            <w:tcW w:type="dxa" w:w="907"/>
          </w:tcPr>
          <w:p>
            <w:pPr>
              <w:jc w:val="center"/>
            </w:pPr>
            <w:r/>
            <w:r>
              <w:rPr>
                <w:sz w:val="22"/>
              </w:rPr>
              <w:t>2</w:t>
            </w:r>
          </w:p>
        </w:tc>
        <w:tc>
          <w:tcPr>
            <w:tcW w:type="dxa" w:w="4706"/>
          </w:tcPr>
          <w:p>
            <w:r/>
            <w:r>
              <w:rPr>
                <w:sz w:val="22"/>
              </w:rPr>
              <w:t>The changing world — online forum</w:t>
            </w:r>
          </w:p>
        </w:tc>
        <w:tc>
          <w:tcPr>
            <w:tcW w:type="dxa" w:w="2268"/>
          </w:tcPr>
          <w:p>
            <w:r/>
            <w:r>
              <w:rPr>
                <w:sz w:val="20"/>
              </w:rPr>
              <w:t>H3.3</w:t>
            </w:r>
          </w:p>
        </w:tc>
      </w:tr>
      <w:tr>
        <w:tc>
          <w:tcPr>
            <w:tcW w:type="dxa" w:w="1134"/>
          </w:tcPr>
          <w:p>
            <w:r/>
            <w:r>
              <w:rPr>
                <w:sz w:val="22"/>
              </w:rPr>
              <w:t>10 (b)</w:t>
            </w:r>
          </w:p>
        </w:tc>
        <w:tc>
          <w:tcPr>
            <w:tcW w:type="dxa" w:w="907"/>
          </w:tcPr>
          <w:p>
            <w:pPr>
              <w:jc w:val="center"/>
            </w:pPr>
            <w:r/>
            <w:r>
              <w:rPr>
                <w:sz w:val="22"/>
              </w:rPr>
              <w:t>3</w:t>
            </w:r>
          </w:p>
        </w:tc>
        <w:tc>
          <w:tcPr>
            <w:tcW w:type="dxa" w:w="4706"/>
          </w:tcPr>
          <w:p>
            <w:r/>
            <w:r>
              <w:rPr>
                <w:sz w:val="22"/>
              </w:rPr>
              <w:t>The changing world — online forum</w:t>
            </w:r>
          </w:p>
        </w:tc>
        <w:tc>
          <w:tcPr>
            <w:tcW w:type="dxa" w:w="2268"/>
          </w:tcPr>
          <w:p>
            <w:r/>
            <w:r>
              <w:rPr>
                <w:sz w:val="20"/>
              </w:rPr>
              <w:t>H3.2</w:t>
            </w:r>
          </w:p>
        </w:tc>
      </w:tr>
      <w:tr>
        <w:tc>
          <w:tcPr>
            <w:tcW w:type="dxa" w:w="1134"/>
          </w:tcPr>
          <w:p>
            <w:r/>
            <w:r>
              <w:rPr>
                <w:sz w:val="22"/>
              </w:rPr>
              <w:t>10 (c)</w:t>
            </w:r>
          </w:p>
        </w:tc>
        <w:tc>
          <w:tcPr>
            <w:tcW w:type="dxa" w:w="907"/>
          </w:tcPr>
          <w:p>
            <w:pPr>
              <w:jc w:val="center"/>
            </w:pPr>
            <w:r/>
            <w:r>
              <w:rPr>
                <w:sz w:val="22"/>
              </w:rPr>
              <w:t>4</w:t>
            </w:r>
          </w:p>
        </w:tc>
        <w:tc>
          <w:tcPr>
            <w:tcW w:type="dxa" w:w="4706"/>
          </w:tcPr>
          <w:p>
            <w:r/>
            <w:r>
              <w:rPr>
                <w:sz w:val="22"/>
              </w:rPr>
              <w:t>The changing world — online forum</w:t>
            </w:r>
          </w:p>
        </w:tc>
        <w:tc>
          <w:tcPr>
            <w:tcW w:type="dxa" w:w="2268"/>
          </w:tcPr>
          <w:p>
            <w:r/>
            <w:r>
              <w:rPr>
                <w:sz w:val="20"/>
              </w:rPr>
              <w:t>H3.5</w:t>
            </w:r>
          </w:p>
        </w:tc>
      </w:tr>
      <w:tr>
        <w:tc>
          <w:tcPr>
            <w:tcW w:type="dxa" w:w="1134"/>
          </w:tcPr>
          <w:p>
            <w:r/>
            <w:r>
              <w:rPr>
                <w:sz w:val="22"/>
              </w:rPr>
              <w:t>10 (d)</w:t>
            </w:r>
          </w:p>
        </w:tc>
        <w:tc>
          <w:tcPr>
            <w:tcW w:type="dxa" w:w="907"/>
          </w:tcPr>
          <w:p>
            <w:pPr>
              <w:jc w:val="center"/>
            </w:pPr>
            <w:r/>
            <w:r>
              <w:rPr>
                <w:sz w:val="22"/>
              </w:rPr>
              <w:t>6</w:t>
            </w:r>
          </w:p>
        </w:tc>
        <w:tc>
          <w:tcPr>
            <w:tcW w:type="dxa" w:w="4706"/>
          </w:tcPr>
          <w:p>
            <w:r/>
            <w:r>
              <w:rPr>
                <w:sz w:val="22"/>
              </w:rPr>
              <w:t>The changing world — online forum</w:t>
            </w:r>
          </w:p>
        </w:tc>
        <w:tc>
          <w:tcPr>
            <w:tcW w:type="dxa" w:w="2268"/>
          </w:tcPr>
          <w:p>
            <w:r/>
            <w:r>
              <w:rPr>
                <w:sz w:val="20"/>
              </w:rPr>
              <w:t>H3.6</w:t>
            </w:r>
          </w:p>
        </w:tc>
      </w:tr>
    </w:tbl>
    <w:p>
      <w:pPr>
        <w:keepNext/>
        <w:spacing w:after="80" w:before="160"/>
      </w:pPr>
      <w:r>
        <w:rPr>
          <w:b/>
          <w:sz w:val="24"/>
        </w:rPr>
        <w:t>Section II — Reading and Responding Part B</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11</w:t>
            </w:r>
          </w:p>
        </w:tc>
        <w:tc>
          <w:tcPr>
            <w:tcW w:type="dxa" w:w="907"/>
          </w:tcPr>
          <w:p>
            <w:pPr>
              <w:jc w:val="center"/>
            </w:pPr>
            <w:r/>
            <w:r>
              <w:rPr>
                <w:sz w:val="22"/>
              </w:rPr>
              <w:t>15</w:t>
            </w:r>
          </w:p>
        </w:tc>
        <w:tc>
          <w:tcPr>
            <w:tcW w:type="dxa" w:w="4706"/>
          </w:tcPr>
          <w:p>
            <w:r/>
            <w:r>
              <w:rPr>
                <w:sz w:val="22"/>
              </w:rPr>
              <w:t>The individual — email</w:t>
            </w:r>
          </w:p>
        </w:tc>
        <w:tc>
          <w:tcPr>
            <w:tcW w:type="dxa" w:w="2268"/>
          </w:tcPr>
          <w:p>
            <w:r/>
            <w:r>
              <w:rPr>
                <w:sz w:val="20"/>
              </w:rPr>
              <w:t>H1.2, H2.1, H2.2, H2.3</w:t>
            </w:r>
          </w:p>
        </w:tc>
      </w:tr>
    </w:tbl>
    <w:p>
      <w:pPr>
        <w:keepNext/>
        <w:spacing w:after="80" w:before="160"/>
      </w:pPr>
      <w:r>
        <w:rPr>
          <w:b/>
          <w:sz w:val="24"/>
        </w:rPr>
        <w:t>Section III — Writing in Chinese</w:t>
      </w:r>
    </w:p>
    <w:tbl>
      <w:tblPr>
        <w:tblW w:type="dxa" w:w="9015"/>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100" w:type="dxa"/>
          <w:bottom w:w="30" w:type="dxa"/>
          <w:right w:w="100" w:type="dxa"/>
        </w:tblCellMar>
        <w:tblLook w:firstColumn="1" w:firstRow="1" w:lastColumn="0" w:lastRow="0" w:noHBand="0" w:noVBand="1" w:val="04A0"/>
      </w:tblPr>
      <w:tblGrid>
        <w:gridCol w:w="1134"/>
        <w:gridCol w:w="907"/>
        <w:gridCol w:w="4706"/>
        <w:gridCol w:w="2268"/>
      </w:tblGrid>
      <w:tr>
        <w:tc>
          <w:tcPr>
            <w:tcW w:type="dxa" w:w="1134"/>
          </w:tcPr>
          <w:p>
            <w:r/>
            <w:r>
              <w:rPr>
                <w:b/>
                <w:sz w:val="22"/>
              </w:rPr>
              <w:t>Question</w:t>
            </w:r>
          </w:p>
        </w:tc>
        <w:tc>
          <w:tcPr>
            <w:tcW w:type="dxa" w:w="907"/>
          </w:tcPr>
          <w:p>
            <w:pPr>
              <w:jc w:val="center"/>
            </w:pPr>
            <w:r/>
            <w:r>
              <w:rPr>
                <w:b/>
                <w:sz w:val="22"/>
              </w:rPr>
              <w:t>Marks</w:t>
            </w:r>
          </w:p>
        </w:tc>
        <w:tc>
          <w:tcPr>
            <w:tcW w:type="dxa" w:w="4706"/>
          </w:tcPr>
          <w:p>
            <w:r/>
            <w:r>
              <w:rPr>
                <w:b/>
                <w:sz w:val="22"/>
              </w:rPr>
              <w:t>Content</w:t>
            </w:r>
          </w:p>
        </w:tc>
        <w:tc>
          <w:tcPr>
            <w:tcW w:type="dxa" w:w="2268"/>
          </w:tcPr>
          <w:p>
            <w:r/>
            <w:r>
              <w:rPr>
                <w:b/>
                <w:sz w:val="22"/>
              </w:rPr>
              <w:t>Syllabus outcomes</w:t>
            </w:r>
          </w:p>
        </w:tc>
      </w:tr>
      <w:tr>
        <w:tc>
          <w:tcPr>
            <w:tcW w:type="dxa" w:w="1134"/>
          </w:tcPr>
          <w:p>
            <w:r/>
            <w:r>
              <w:rPr>
                <w:sz w:val="22"/>
              </w:rPr>
              <w:t>12</w:t>
            </w:r>
          </w:p>
        </w:tc>
        <w:tc>
          <w:tcPr>
            <w:tcW w:type="dxa" w:w="907"/>
          </w:tcPr>
          <w:p>
            <w:pPr>
              <w:jc w:val="center"/>
            </w:pPr>
            <w:r/>
            <w:r>
              <w:rPr>
                <w:sz w:val="22"/>
              </w:rPr>
              <w:t>5</w:t>
            </w:r>
          </w:p>
        </w:tc>
        <w:tc>
          <w:tcPr>
            <w:tcW w:type="dxa" w:w="4706"/>
          </w:tcPr>
          <w:p>
            <w:r/>
            <w:r>
              <w:rPr>
                <w:sz w:val="22"/>
              </w:rPr>
              <w:t>The Chinese-speaking communities — note</w:t>
            </w:r>
          </w:p>
        </w:tc>
        <w:tc>
          <w:tcPr>
            <w:tcW w:type="dxa" w:w="2268"/>
          </w:tcPr>
          <w:p>
            <w:r/>
            <w:r>
              <w:rPr>
                <w:sz w:val="20"/>
              </w:rPr>
              <w:t>H2.1, H2.2, H2.3</w:t>
            </w:r>
          </w:p>
        </w:tc>
      </w:tr>
      <w:tr>
        <w:tc>
          <w:tcPr>
            <w:tcW w:type="dxa" w:w="1134"/>
          </w:tcPr>
          <w:p>
            <w:r/>
            <w:r>
              <w:rPr>
                <w:sz w:val="22"/>
              </w:rPr>
              <w:t>13 (a)</w:t>
            </w:r>
          </w:p>
        </w:tc>
        <w:tc>
          <w:tcPr>
            <w:tcW w:type="dxa" w:w="907"/>
          </w:tcPr>
          <w:p>
            <w:pPr>
              <w:jc w:val="center"/>
            </w:pPr>
            <w:r/>
            <w:r>
              <w:rPr>
                <w:sz w:val="22"/>
              </w:rPr>
              <w:t>10</w:t>
            </w:r>
          </w:p>
        </w:tc>
        <w:tc>
          <w:tcPr>
            <w:tcW w:type="dxa" w:w="4706"/>
          </w:tcPr>
          <w:p>
            <w:r/>
            <w:r>
              <w:rPr>
                <w:sz w:val="22"/>
              </w:rPr>
              <w:t>The Chinese-speaking communities — diary entry</w:t>
            </w:r>
          </w:p>
        </w:tc>
        <w:tc>
          <w:tcPr>
            <w:tcW w:type="dxa" w:w="2268"/>
          </w:tcPr>
          <w:p>
            <w:r/>
            <w:r>
              <w:rPr>
                <w:sz w:val="20"/>
              </w:rPr>
              <w:t>H2.1, H2.2, H2.3</w:t>
            </w:r>
          </w:p>
        </w:tc>
      </w:tr>
      <w:tr>
        <w:tc>
          <w:tcPr>
            <w:tcW w:type="dxa" w:w="1134"/>
          </w:tcPr>
          <w:p>
            <w:r/>
            <w:r>
              <w:rPr>
                <w:sz w:val="22"/>
              </w:rPr>
              <w:t>13 (b)</w:t>
            </w:r>
          </w:p>
        </w:tc>
        <w:tc>
          <w:tcPr>
            <w:tcW w:type="dxa" w:w="907"/>
          </w:tcPr>
          <w:p>
            <w:pPr>
              <w:jc w:val="center"/>
            </w:pPr>
            <w:r/>
            <w:r>
              <w:rPr>
                <w:sz w:val="22"/>
              </w:rPr>
              <w:t>10</w:t>
            </w:r>
          </w:p>
        </w:tc>
        <w:tc>
          <w:tcPr>
            <w:tcW w:type="dxa" w:w="4706"/>
          </w:tcPr>
          <w:p>
            <w:r/>
            <w:r>
              <w:rPr>
                <w:sz w:val="22"/>
              </w:rPr>
              <w:t>The changing world — diary entry</w:t>
            </w:r>
          </w:p>
        </w:tc>
        <w:tc>
          <w:tcPr>
            <w:tcW w:type="dxa" w:w="2268"/>
          </w:tcPr>
          <w:p>
            <w:r/>
            <w:r>
              <w:rPr>
                <w:sz w:val="20"/>
              </w:rPr>
              <w:t>H2.1, H2.2, H2.3</w:t>
            </w:r>
          </w:p>
        </w:tc>
      </w:tr>
    </w:tbl>
    <w:sectPr w:rsidR="00FC693F" w:rsidRPr="0006063C" w:rsidSect="00034616">
      <w:headerReference w:type="default" r:id="rId9"/>
      <w:headerReference w:type="first" r:id="rId10"/>
      <w:footerReference w:type="default" r:id="rId11"/>
      <w:footerReference w:type="first" r:id="rId12"/>
      <w:pgSz w:w="11909" w:h="16834"/>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sz w:val="18"/>
      </w:rPr>
      <w:t xml:space="preserve">Page </w:t>
    </w:r>
    <w:r>
      <w:rPr>
        <w:sz w:val="18"/>
      </w:rPr>
      <w:fldChar w:fldCharType="begin"/>
      <w:instrText xml:space="preserve"> PAGE </w:instrText>
      <w:fldChar w:fldCharType="end"/>
    </w:r>
    <w:r>
      <w:rPr>
        <w:sz w:val="18"/>
      </w:rPr>
      <w:t xml:space="preserve"> of </w:t>
    </w:r>
    <w:r>
      <w:rPr>
        <w:sz w:val="18"/>
      </w:rPr>
      <w:fldChar w:fldCharType="begin"/>
      <w:instrText xml:space="preserve"> NUMPAGES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sz w:val="18"/>
      </w:rPr>
      <w:t xml:space="preserve">Page </w:t>
    </w:r>
    <w:r>
      <w:rPr>
        <w:sz w:val="18"/>
      </w:rPr>
      <w:fldChar w:fldCharType="begin"/>
      <w:instrText xml:space="preserve"> PAGE </w:instrText>
      <w:fldChar w:fldCharType="end"/>
    </w:r>
    <w:r>
      <w:rPr>
        <w:sz w:val="18"/>
      </w:rPr>
      <w:t xml:space="preserve"> of </w:t>
    </w:r>
    <w:r>
      <w:rPr>
        <w:sz w:val="18"/>
      </w:rPr>
      <w:fldChar w:fldCharType="begin"/>
      <w:instrText xml:space="preserve"> NUMPAGES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sz w:val="18"/>
      </w:rPr>
      <w:t>HQ Society — 2026 HSC Chinese Continuers — Marking Guidelines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楷体"/>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